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1C0D630" w14:paraId="2C078E63" wp14:textId="3B47B417">
      <w:pPr>
        <w:pStyle w:val="Heading1"/>
        <w:rPr>
          <w:b w:val="1"/>
          <w:bCs w:val="1"/>
          <w:sz w:val="36"/>
          <w:szCs w:val="36"/>
        </w:rPr>
      </w:pPr>
      <w:bookmarkStart w:name="_GoBack" w:id="0"/>
      <w:bookmarkEnd w:id="0"/>
      <w:r w:rsidRPr="01C0D630" w:rsidR="36D81F0A">
        <w:rPr>
          <w:b w:val="1"/>
          <w:bCs w:val="1"/>
          <w:sz w:val="36"/>
          <w:szCs w:val="36"/>
        </w:rPr>
        <w:t>CCS Circulation Technical Group</w:t>
      </w:r>
    </w:p>
    <w:p w:rsidR="36D81F0A" w:rsidP="01C0D630" w:rsidRDefault="36D81F0A" w14:paraId="0A742512" w14:textId="453DF23F">
      <w:pPr>
        <w:pStyle w:val="Heading2"/>
        <w:rPr>
          <w:b w:val="1"/>
          <w:bCs w:val="1"/>
        </w:rPr>
      </w:pPr>
      <w:r w:rsidRPr="01C0D630" w:rsidR="36D81F0A">
        <w:rPr>
          <w:b w:val="1"/>
          <w:bCs w:val="1"/>
        </w:rPr>
        <w:t xml:space="preserve">July 14, </w:t>
      </w:r>
      <w:r w:rsidRPr="01C0D630" w:rsidR="36D81F0A">
        <w:rPr>
          <w:b w:val="1"/>
          <w:bCs w:val="1"/>
        </w:rPr>
        <w:t>2023</w:t>
      </w:r>
      <w:r w:rsidRPr="01C0D630" w:rsidR="36D81F0A">
        <w:rPr>
          <w:b w:val="1"/>
          <w:bCs w:val="1"/>
        </w:rPr>
        <w:t xml:space="preserve"> Meeting Action Items</w:t>
      </w:r>
    </w:p>
    <w:p w:rsidR="01C0D630" w:rsidP="01C0D630" w:rsidRDefault="01C0D630" w14:paraId="6E692F5F" w14:textId="1255AB23">
      <w:pPr>
        <w:pStyle w:val="Normal"/>
        <w:rPr>
          <w:b w:val="1"/>
          <w:bCs w:val="1"/>
        </w:rPr>
      </w:pPr>
    </w:p>
    <w:p w:rsidR="26AFDAE3" w:rsidP="01C0D630" w:rsidRDefault="26AFDAE3" w14:paraId="2420E5C8" w14:textId="5ABE44DC">
      <w:pPr>
        <w:pStyle w:val="Heading3"/>
        <w:rPr>
          <w:b w:val="1"/>
          <w:bCs w:val="1"/>
        </w:rPr>
      </w:pPr>
      <w:r w:rsidRPr="01C0D630" w:rsidR="26AFDAE3">
        <w:rPr>
          <w:b w:val="1"/>
          <w:bCs w:val="1"/>
        </w:rPr>
        <w:t>7.4 Setting Change: Canceling Holds in Held Status</w:t>
      </w:r>
    </w:p>
    <w:p w:rsidR="26AFDAE3" w:rsidP="01C0D630" w:rsidRDefault="26AFDAE3" w14:paraId="3B54F0D1" w14:textId="5944C596">
      <w:pPr>
        <w:pStyle w:val="Normal"/>
      </w:pPr>
      <w:r w:rsidR="26AFDAE3">
        <w:rPr/>
        <w:t xml:space="preserve">At this time, staff and patrons can cancel only certain types of holds in Leap or the </w:t>
      </w:r>
      <w:r w:rsidR="26AFDAE3">
        <w:rPr/>
        <w:t>PowerPAC</w:t>
      </w:r>
      <w:r w:rsidR="26AFDAE3">
        <w:rPr/>
        <w:t xml:space="preserve">. This includes holds with a status of Requested, Paused, </w:t>
      </w:r>
      <w:r w:rsidR="26AFDAE3">
        <w:rPr/>
        <w:t>Locating</w:t>
      </w:r>
      <w:r w:rsidR="26AFDAE3">
        <w:rPr/>
        <w:t xml:space="preserve">, or Shipped. If a request is in Held status (Ready-for-Pickup), staff can only cancel the hold by checking the held item in. The patron is not able to cancel a Held request from the </w:t>
      </w:r>
      <w:r w:rsidR="26AFDAE3">
        <w:rPr/>
        <w:t>PowerPAC</w:t>
      </w:r>
      <w:r w:rsidR="26AFDAE3">
        <w:rPr/>
        <w:t xml:space="preserve">. </w:t>
      </w:r>
    </w:p>
    <w:p w:rsidR="26AFDAE3" w:rsidP="01C0D630" w:rsidRDefault="26AFDAE3" w14:paraId="54821B6A" w14:textId="5E1295D3">
      <w:pPr>
        <w:pStyle w:val="Normal"/>
      </w:pPr>
      <w:r w:rsidR="26AFDAE3">
        <w:rPr/>
        <w:t xml:space="preserve">A new Polaris setting allows patrons and staff to cancel Held holds in the </w:t>
      </w:r>
      <w:r w:rsidR="26AFDAE3">
        <w:rPr/>
        <w:t>PowerPAC</w:t>
      </w:r>
      <w:r w:rsidR="26AFDAE3">
        <w:rPr/>
        <w:t xml:space="preserve"> or Leap.</w:t>
      </w:r>
      <w:r w:rsidR="3715E020">
        <w:rPr/>
        <w:t xml:space="preserve"> Patrons will see a warning and a prompt to confirm cancelation in order to complete the action.</w:t>
      </w:r>
      <w:r w:rsidR="64055F71">
        <w:rPr/>
        <w:t xml:space="preserve"> This setting only applies to intra-CCS holds; it does not apply to out-of-system ILL </w:t>
      </w:r>
      <w:r w:rsidR="64055F71">
        <w:rPr/>
        <w:t>requests</w:t>
      </w:r>
      <w:r w:rsidR="64055F71">
        <w:rPr/>
        <w:t>.</w:t>
      </w:r>
    </w:p>
    <w:p w:rsidR="26AFDAE3" w:rsidP="01C0D630" w:rsidRDefault="26AFDAE3" w14:paraId="2A243D3C" w14:textId="69F15ECB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26AFDAE3">
        <w:drawing>
          <wp:inline wp14:editId="383D54F2" wp14:anchorId="43E65F34">
            <wp:extent cx="4581524" cy="1190625"/>
            <wp:effectExtent l="9525" t="9525" r="9525" b="9525"/>
            <wp:docPr id="12979381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8adecf0c4b48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119062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br/>
      </w:r>
      <w:r w:rsidRPr="01C0D630" w:rsidR="26AFDA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Cancel Held hold in Leap</w:t>
      </w:r>
    </w:p>
    <w:p w:rsidR="01C0D630" w:rsidP="01C0D630" w:rsidRDefault="01C0D630" w14:paraId="1C4C6F24" w14:textId="5BBADF86">
      <w:pPr>
        <w:pStyle w:val="Normal"/>
      </w:pPr>
    </w:p>
    <w:p w:rsidR="26AFDAE3" w:rsidP="01C0D630" w:rsidRDefault="26AFDAE3" w14:paraId="318B315A" w14:textId="797FBF47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26AFDAE3">
        <w:drawing>
          <wp:inline wp14:editId="2875D673" wp14:anchorId="5F771153">
            <wp:extent cx="4581524" cy="1447800"/>
            <wp:effectExtent l="9525" t="9525" r="9525" b="9525"/>
            <wp:docPr id="14871519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18143b3cacc42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1447800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br/>
      </w:r>
      <w:r w:rsidRPr="01C0D630" w:rsidR="26AFDA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Cancel Held hold in </w:t>
      </w:r>
      <w:r w:rsidRPr="01C0D630" w:rsidR="26AFDA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PowerPAC</w:t>
      </w:r>
    </w:p>
    <w:p w:rsidR="01C0D630" w:rsidP="01C0D630" w:rsidRDefault="01C0D630" w14:paraId="05BAB492" w14:textId="1FCBC1C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6AFDAE3" w:rsidP="01C0D630" w:rsidRDefault="26AFDAE3" w14:paraId="235DF05C" w14:textId="5F6EDAA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Held holds that are canceled are added to the Picklist 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 a “Canceled” 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view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a “Holds to Action” 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view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depending on settings. </w:t>
      </w:r>
      <w:r w:rsidRPr="01C0D630" w:rsidR="49BE68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01C0D630" w:rsidR="08634D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canceled </w:t>
      </w:r>
      <w:r w:rsidRPr="01C0D630" w:rsidR="49BE68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hold will also appear </w:t>
      </w:r>
      <w:r w:rsidRPr="01C0D630" w:rsidR="73AB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the</w:t>
      </w:r>
      <w:r w:rsidRPr="01C0D630" w:rsidR="49F522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Daily Clean Hold Shelf Web Report.</w:t>
      </w:r>
      <w:r w:rsidRPr="01C0D630" w:rsidR="73AB55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allows staff to 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canceled holds that need to be pulled f</w:t>
      </w:r>
      <w:r w:rsidRPr="01C0D630" w:rsidR="26AFDA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rom the hold shelf and checked in.</w:t>
      </w:r>
      <w:r w:rsidRPr="01C0D630" w:rsidR="22B14D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Just like holds in an Unclaimed status, the canceled hold will </w:t>
      </w:r>
      <w:r w:rsidRPr="01C0D630" w:rsidR="22B14D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01C0D630" w:rsidR="22B14D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status of Canceled </w:t>
      </w:r>
      <w:r w:rsidRPr="01C0D630" w:rsidR="2BC710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will appear in this Picklist tab </w:t>
      </w:r>
      <w:r w:rsidRPr="01C0D630" w:rsidR="22B14D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until staff check the item in</w:t>
      </w:r>
      <w:r w:rsidRPr="01C0D630" w:rsidR="550D37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6AFDAE3" w:rsidP="01C0D630" w:rsidRDefault="26AFDAE3" w14:paraId="19D3A1A6" w14:textId="351C9616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26AFDAE3">
        <w:drawing>
          <wp:inline wp14:editId="0C22D7C2" wp14:anchorId="5C7ECA51">
            <wp:extent cx="4991102" cy="1228725"/>
            <wp:effectExtent l="9525" t="9525" r="9525" b="9525"/>
            <wp:docPr id="15431117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2aa5963c47493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2" cy="122872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br/>
      </w:r>
      <w:r w:rsidRPr="01C0D630" w:rsidR="26AFDA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Identifying</w:t>
      </w:r>
      <w:r w:rsidRPr="01C0D630" w:rsidR="26AFDA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canceled Held holds</w:t>
      </w:r>
    </w:p>
    <w:p w:rsidR="01C0D630" w:rsidP="01C0D630" w:rsidRDefault="01C0D630" w14:paraId="0A485A02" w14:textId="2BC6582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29E575" w:rsidP="01C0D630" w:rsidRDefault="3529E575" w14:paraId="052F7E87" w14:textId="29EA4241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0D630" w:rsidR="3529E5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Proposed </w:t>
      </w:r>
      <w:r w:rsidRPr="01C0D630" w:rsidR="4C749E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motion: Enable</w:t>
      </w:r>
      <w:r w:rsidRPr="01C0D630" w:rsidR="3529E5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C0D630" w:rsidR="3529E5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staff and patrons to cancel hold requests in Held status.</w:t>
      </w:r>
    </w:p>
    <w:p w:rsidR="01C0D630" w:rsidP="01C0D630" w:rsidRDefault="01C0D630" w14:paraId="32C02F5C" w14:textId="29D618DE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6BF5D5" w:rsidP="01C0D630" w:rsidRDefault="6A6BF5D5" w14:paraId="1F5AA1A8" w14:textId="07A987C5">
      <w:pPr>
        <w:pStyle w:val="Heading3"/>
        <w:rPr>
          <w:b w:val="1"/>
          <w:bCs w:val="1"/>
        </w:rPr>
      </w:pPr>
      <w:r w:rsidRPr="01C0D630" w:rsidR="6A6BF5D5">
        <w:rPr>
          <w:b w:val="1"/>
          <w:bCs w:val="1"/>
        </w:rPr>
        <w:t>7.4 Setting Change: Combined Picklist View</w:t>
      </w:r>
    </w:p>
    <w:p w:rsidR="73FEBADE" w:rsidP="01C0D630" w:rsidRDefault="73FEBADE" w14:paraId="00EDBB1B" w14:textId="6F868EE7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Leap Picklist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organizes holds to pull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based on hold status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which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includes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Unclaimed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intra-CCS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holds and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unclaimed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ILL,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Ready for Pickup holds that need to be transferred to a new pickup location, and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(as of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7.4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Canceled holds.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each of these tabs, staff are expected to pull the hold from the hold shelf and check the item in.</w:t>
      </w:r>
    </w:p>
    <w:p w:rsidR="73FEBADE" w:rsidP="01C0D630" w:rsidRDefault="73FEBADE" w14:paraId="52435FBB" w14:textId="23F4E5FC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73FEBADE">
        <w:drawing>
          <wp:inline wp14:editId="022A3783" wp14:anchorId="571596EF">
            <wp:extent cx="4581524" cy="1533525"/>
            <wp:effectExtent l="0" t="0" r="0" b="0"/>
            <wp:docPr id="6447329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8619a345b545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1C0D630" w:rsidR="73FEBA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Default Picklist </w:t>
      </w:r>
      <w:r w:rsidRPr="01C0D630" w:rsidR="73FEBA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</w:t>
      </w:r>
      <w:r w:rsidRPr="01C0D630" w:rsidR="73FEBA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ab</w:t>
      </w:r>
      <w:r w:rsidRPr="01C0D630" w:rsidR="73FEBA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view</w:t>
      </w:r>
    </w:p>
    <w:p w:rsidR="01C0D630" w:rsidP="01C0D630" w:rsidRDefault="01C0D630" w14:paraId="75D52703" w14:textId="4754512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3FEBADE" w:rsidP="01C0D630" w:rsidRDefault="73FEBADE" w14:paraId="4BC73E29" w14:textId="14CC63C2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new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Picklist setting enables a combined view, where Unclaimed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intra-CCS holds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Holds to Transfer, and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Canceled holds are all listed together under a “Holds to Action” tab. </w:t>
      </w:r>
      <w:r w:rsidRPr="01C0D630" w:rsidR="73FEB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setting is optional.</w:t>
      </w:r>
    </w:p>
    <w:p w:rsidR="73FEBADE" w:rsidP="01C0D630" w:rsidRDefault="73FEBADE" w14:paraId="563B3796" w14:textId="2DF729BD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73FEBADE">
        <w:drawing>
          <wp:inline wp14:editId="349EC152" wp14:anchorId="020EB865">
            <wp:extent cx="4581524" cy="1495425"/>
            <wp:effectExtent l="0" t="0" r="0" b="0"/>
            <wp:docPr id="16586696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20f9c497c343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1C0D630" w:rsidR="73FEBAD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Combined Picklist “Holds to Action” view</w:t>
      </w:r>
    </w:p>
    <w:p w:rsidR="01C0D630" w:rsidP="01C0D630" w:rsidRDefault="01C0D630" w14:paraId="412A8AC4" w14:textId="4F39841C">
      <w:pPr>
        <w:pStyle w:val="Normal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1C0D630" w:rsidP="01C0D630" w:rsidRDefault="01C0D630" w14:paraId="173D84CA" w14:textId="6AF29673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76FB7B" w:rsidP="01C0D630" w:rsidRDefault="4776FB7B" w14:paraId="7B5E5AED" w14:textId="45655A12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0D630" w:rsidR="4776F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combined picklist view includes a “Type” column which will list if the hold is unclaimed, </w:t>
      </w:r>
      <w:r>
        <w:tab/>
      </w:r>
      <w:r w:rsidRPr="01C0D630" w:rsidR="4776F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canceled, or is a transfer.</w:t>
      </w:r>
    </w:p>
    <w:p w:rsidR="73FEBADE" w:rsidP="01C0D630" w:rsidRDefault="73FEBADE" w14:paraId="2623C50D" w14:textId="65CCEE43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3FEBADE">
        <w:drawing>
          <wp:inline wp14:editId="2C352A25" wp14:anchorId="200ABEB2">
            <wp:extent cx="5372100" cy="1181100"/>
            <wp:effectExtent l="0" t="0" r="0" b="0"/>
            <wp:docPr id="6596309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229073be704a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68A8BB04" w:rsidP="01C0D630" w:rsidRDefault="68A8BB04" w14:paraId="5A255FB5" w14:textId="580C924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0D630" w:rsidR="68A8B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motion: Enable the combined Picklist holds view in Leap.</w:t>
      </w:r>
    </w:p>
    <w:p w:rsidR="01C0D630" w:rsidP="01C0D630" w:rsidRDefault="01C0D630" w14:paraId="337D455C" w14:textId="32F51318">
      <w:pPr>
        <w:pStyle w:val="Normal"/>
      </w:pPr>
    </w:p>
    <w:p w:rsidR="01C0D630" w:rsidP="01C0D630" w:rsidRDefault="01C0D630" w14:paraId="6D9CEFAB" w14:textId="11142642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1C0D630" w:rsidP="01C0D630" w:rsidRDefault="01C0D630" w14:paraId="636C9E3F" w14:textId="119244B5">
      <w:pPr>
        <w:pStyle w:val="Normal"/>
        <w:spacing w:after="160" w:line="259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38B07"/>
    <w:rsid w:val="0048E7D6"/>
    <w:rsid w:val="01C0D630"/>
    <w:rsid w:val="06830C7C"/>
    <w:rsid w:val="08634DA0"/>
    <w:rsid w:val="1EC82432"/>
    <w:rsid w:val="22B14D5F"/>
    <w:rsid w:val="26AFDAE3"/>
    <w:rsid w:val="2BC710A4"/>
    <w:rsid w:val="2C768826"/>
    <w:rsid w:val="2D0D5ABD"/>
    <w:rsid w:val="3044FB7F"/>
    <w:rsid w:val="31E0CBE0"/>
    <w:rsid w:val="337C9C41"/>
    <w:rsid w:val="33DB7861"/>
    <w:rsid w:val="345FAA83"/>
    <w:rsid w:val="3529E575"/>
    <w:rsid w:val="36B43D03"/>
    <w:rsid w:val="36D81F0A"/>
    <w:rsid w:val="3715E020"/>
    <w:rsid w:val="38500D64"/>
    <w:rsid w:val="3A0FBFCC"/>
    <w:rsid w:val="3B87AE26"/>
    <w:rsid w:val="4776FB7B"/>
    <w:rsid w:val="47A4FB63"/>
    <w:rsid w:val="49BE686E"/>
    <w:rsid w:val="49F52222"/>
    <w:rsid w:val="4B19A689"/>
    <w:rsid w:val="4C749E0B"/>
    <w:rsid w:val="4EDD6038"/>
    <w:rsid w:val="550D37EA"/>
    <w:rsid w:val="561F4ECC"/>
    <w:rsid w:val="6305BF5A"/>
    <w:rsid w:val="63F9824D"/>
    <w:rsid w:val="64055F71"/>
    <w:rsid w:val="66614223"/>
    <w:rsid w:val="680AF5B1"/>
    <w:rsid w:val="68A8BB04"/>
    <w:rsid w:val="6998E2E5"/>
    <w:rsid w:val="6A6BF5D5"/>
    <w:rsid w:val="6BEB6BD5"/>
    <w:rsid w:val="6BF38B07"/>
    <w:rsid w:val="70BEDCF8"/>
    <w:rsid w:val="725AAD59"/>
    <w:rsid w:val="73AB557A"/>
    <w:rsid w:val="73FEBADE"/>
    <w:rsid w:val="74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8B07"/>
  <w15:chartTrackingRefBased/>
  <w15:docId w15:val="{0F141A50-F31E-4337-B0BB-20D044CF2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f8adecf0c4b48e2" /><Relationship Type="http://schemas.openxmlformats.org/officeDocument/2006/relationships/image" Target="/media/image2.png" Id="R118143b3cacc424f" /><Relationship Type="http://schemas.openxmlformats.org/officeDocument/2006/relationships/image" Target="/media/image3.png" Id="Rd62aa5963c474935" /><Relationship Type="http://schemas.openxmlformats.org/officeDocument/2006/relationships/image" Target="/media/image4.png" Id="R0c8619a345b54544" /><Relationship Type="http://schemas.openxmlformats.org/officeDocument/2006/relationships/image" Target="/media/image5.png" Id="Rbd20f9c497c34329" /><Relationship Type="http://schemas.openxmlformats.org/officeDocument/2006/relationships/image" Target="/media/image6.png" Id="Rfd229073be704a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2023-07-06T12:32:28.6330402Z</dcterms:created>
  <dcterms:modified xsi:type="dcterms:W3CDTF">2023-07-06T12:50:37.5710958Z</dcterms:modified>
  <dc:creator>Mieko Landers</dc:creator>
  <lastModifiedBy>Mieko Landers</lastModifiedBy>
</coreProperties>
</file>