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8660643" w:rsidP="3EA36D25" w:rsidRDefault="48660643" w14:paraId="394E0738" w14:textId="5C06D273">
      <w:pPr>
        <w:pStyle w:val="Heading1"/>
        <w:keepNext w:val="1"/>
        <w:keepLines w:val="1"/>
        <w:spacing w:before="0" w:after="0" w:line="259" w:lineRule="auto"/>
        <w:jc w:val="center"/>
        <w:rPr>
          <w:rFonts w:ascii="Raleway" w:hAnsi="Raleway" w:eastAsia="Raleway" w:cs="Raleway"/>
          <w:b w:val="0"/>
          <w:bCs w:val="0"/>
          <w:i w:val="0"/>
          <w:iCs w:val="0"/>
          <w:caps w:val="0"/>
          <w:smallCaps w:val="0"/>
          <w:noProof w:val="0"/>
          <w:color w:val="2F5496" w:themeColor="accent1" w:themeTint="FF" w:themeShade="BF"/>
          <w:sz w:val="32"/>
          <w:szCs w:val="32"/>
          <w:lang w:val="en-US"/>
        </w:rPr>
      </w:pPr>
      <w:r w:rsidRPr="3EA36D25" w:rsidR="3094C80B">
        <w:rPr>
          <w:rFonts w:ascii="Raleway" w:hAnsi="Raleway" w:eastAsia="Raleway" w:cs="Raleway"/>
          <w:b w:val="1"/>
          <w:bCs w:val="1"/>
          <w:i w:val="0"/>
          <w:iCs w:val="0"/>
          <w:caps w:val="0"/>
          <w:smallCaps w:val="0"/>
          <w:noProof w:val="0"/>
          <w:color w:val="2F5496" w:themeColor="accent1" w:themeTint="FF" w:themeShade="BF"/>
          <w:sz w:val="32"/>
          <w:szCs w:val="32"/>
          <w:lang w:val="en-US"/>
        </w:rPr>
        <w:t>Circulation/ILL Advisory Group</w:t>
      </w:r>
    </w:p>
    <w:p w:rsidR="48660643" w:rsidP="3EA36D25" w:rsidRDefault="48660643" w14:paraId="608C0E96" w14:textId="30A0AC7C">
      <w:pPr>
        <w:pStyle w:val="Heading1"/>
        <w:keepNext w:val="1"/>
        <w:keepLines w:val="1"/>
        <w:spacing w:before="0" w:after="0" w:line="259" w:lineRule="auto"/>
        <w:jc w:val="center"/>
        <w:rPr>
          <w:rFonts w:ascii="Raleway" w:hAnsi="Raleway" w:eastAsia="Raleway" w:cs="Raleway"/>
          <w:b w:val="0"/>
          <w:bCs w:val="0"/>
          <w:i w:val="0"/>
          <w:iCs w:val="0"/>
          <w:caps w:val="0"/>
          <w:smallCaps w:val="0"/>
          <w:noProof w:val="0"/>
          <w:color w:val="2F5496" w:themeColor="accent1" w:themeTint="FF" w:themeShade="BF"/>
          <w:sz w:val="28"/>
          <w:szCs w:val="28"/>
          <w:lang w:val="en-US"/>
        </w:rPr>
      </w:pPr>
      <w:r w:rsidRPr="3EA36D25" w:rsidR="3094C80B">
        <w:rPr>
          <w:rFonts w:ascii="Raleway" w:hAnsi="Raleway" w:eastAsia="Raleway" w:cs="Raleway"/>
          <w:b w:val="1"/>
          <w:bCs w:val="1"/>
          <w:i w:val="0"/>
          <w:iCs w:val="0"/>
          <w:caps w:val="0"/>
          <w:smallCaps w:val="0"/>
          <w:noProof w:val="0"/>
          <w:color w:val="2F5496" w:themeColor="accent1" w:themeTint="FF" w:themeShade="BF"/>
          <w:sz w:val="28"/>
          <w:szCs w:val="28"/>
          <w:lang w:val="en-US"/>
        </w:rPr>
        <w:t>Agenda – September 15, 2023</w:t>
      </w:r>
    </w:p>
    <w:p w:rsidR="48660643" w:rsidP="3EA36D25" w:rsidRDefault="48660643" w14:paraId="2B3F2056" w14:textId="1FC926B9">
      <w:pPr>
        <w:pStyle w:val="Heading1"/>
        <w:keepNext w:val="1"/>
        <w:keepLines w:val="1"/>
        <w:spacing w:before="0" w:after="0" w:line="259" w:lineRule="auto"/>
        <w:jc w:val="center"/>
        <w:rPr>
          <w:rFonts w:ascii="Raleway" w:hAnsi="Raleway" w:eastAsia="Raleway" w:cs="Raleway"/>
          <w:b w:val="0"/>
          <w:bCs w:val="0"/>
          <w:i w:val="0"/>
          <w:iCs w:val="0"/>
          <w:caps w:val="0"/>
          <w:smallCaps w:val="0"/>
          <w:noProof w:val="0"/>
          <w:color w:val="2F5496" w:themeColor="accent1" w:themeTint="FF" w:themeShade="BF"/>
          <w:sz w:val="28"/>
          <w:szCs w:val="28"/>
          <w:lang w:val="en-US"/>
        </w:rPr>
      </w:pPr>
      <w:r w:rsidRPr="3EA36D25" w:rsidR="3094C80B">
        <w:rPr>
          <w:rFonts w:ascii="Raleway" w:hAnsi="Raleway" w:eastAsia="Raleway" w:cs="Raleway"/>
          <w:b w:val="1"/>
          <w:bCs w:val="1"/>
          <w:i w:val="0"/>
          <w:iCs w:val="0"/>
          <w:caps w:val="0"/>
          <w:smallCaps w:val="0"/>
          <w:noProof w:val="0"/>
          <w:color w:val="2F5496" w:themeColor="accent1" w:themeTint="FF" w:themeShade="BF"/>
          <w:sz w:val="28"/>
          <w:szCs w:val="28"/>
          <w:lang w:val="en-US"/>
        </w:rPr>
        <w:t>Zoom, 9:30 a.m.</w:t>
      </w:r>
    </w:p>
    <w:p w:rsidR="48660643" w:rsidP="3EA36D25" w:rsidRDefault="48660643" w14:paraId="7194B251" w14:textId="1D1EA386">
      <w:pPr>
        <w:pStyle w:val="Normal"/>
        <w:keepNext w:val="1"/>
        <w:keepLines w:val="1"/>
        <w:rPr>
          <w:noProof w:val="0"/>
          <w:lang w:val="en-US"/>
        </w:rPr>
      </w:pPr>
    </w:p>
    <w:p w:rsidR="48660643" w:rsidP="3EA36D25" w:rsidRDefault="48660643" w14:paraId="00386C91" w14:textId="499E3AB3">
      <w:pPr>
        <w:pStyle w:val="Normal"/>
        <w:spacing w:after="160" w:line="259" w:lineRule="auto"/>
        <w:rPr>
          <w:rFonts w:ascii="Calibri Light" w:hAnsi="Calibri Light" w:eastAsia="Calibri Light" w:cs="Calibri Light"/>
          <w:noProof w:val="0"/>
          <w:sz w:val="24"/>
          <w:szCs w:val="24"/>
          <w:lang w:val="en-US"/>
        </w:rPr>
      </w:pPr>
      <w:r w:rsidRPr="3EA36D25" w:rsidR="42D1AE85">
        <w:rPr>
          <w:rStyle w:val="Heading3Char"/>
          <w:rFonts w:ascii="Calibri Light" w:hAnsi="Calibri Light" w:eastAsia="Calibri Light" w:cs="Calibri Light"/>
          <w:b w:val="0"/>
          <w:bCs w:val="0"/>
          <w:i w:val="0"/>
          <w:iCs w:val="0"/>
          <w:caps w:val="0"/>
          <w:smallCaps w:val="0"/>
          <w:noProof w:val="0"/>
          <w:color w:val="1F3763"/>
          <w:sz w:val="24"/>
          <w:szCs w:val="24"/>
          <w:lang w:val="en-US"/>
        </w:rPr>
        <w:t>Meeting Access Information:</w:t>
      </w:r>
      <w:r>
        <w:br/>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URL:</w:t>
      </w:r>
      <w:r w:rsidRPr="3EA36D25" w:rsidR="5B7B56F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c0503c75939747ce">
        <w:r w:rsidRPr="3EA36D25" w:rsidR="53247983">
          <w:rPr>
            <w:rStyle w:val="Hyperlink"/>
            <w:rFonts w:ascii="Calibri" w:hAnsi="Calibri" w:eastAsia="Calibri" w:cs="Calibri"/>
            <w:b w:val="0"/>
            <w:bCs w:val="0"/>
            <w:i w:val="0"/>
            <w:iCs w:val="0"/>
            <w:caps w:val="0"/>
            <w:smallCaps w:val="0"/>
            <w:noProof w:val="0"/>
            <w:sz w:val="22"/>
            <w:szCs w:val="22"/>
            <w:lang w:val="en-US"/>
          </w:rPr>
          <w:t>https://us02web.zoom.us/j/83750068908?pwd=M1JyeGFCSDVFRWRvUXB0UTJTL3BzUT09</w:t>
        </w:r>
      </w:hyperlink>
      <w:r w:rsidRPr="3EA36D25" w:rsidR="532479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br/>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Meeting ID: </w:t>
      </w:r>
      <w:r w:rsidRPr="3EA36D25" w:rsidR="18090CF6">
        <w:rPr>
          <w:rFonts w:ascii="Calibri" w:hAnsi="Calibri" w:eastAsia="Calibri" w:cs="Calibri"/>
          <w:b w:val="0"/>
          <w:bCs w:val="0"/>
          <w:i w:val="0"/>
          <w:iCs w:val="0"/>
          <w:caps w:val="0"/>
          <w:smallCaps w:val="0"/>
          <w:noProof w:val="0"/>
          <w:color w:val="000000" w:themeColor="text1" w:themeTint="FF" w:themeShade="FF"/>
          <w:sz w:val="22"/>
          <w:szCs w:val="22"/>
          <w:lang w:val="en-US"/>
        </w:rPr>
        <w:t>837 5006 8908</w:t>
      </w:r>
      <w:r>
        <w:br/>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Passcode: </w:t>
      </w:r>
      <w:r w:rsidRPr="3EA36D25" w:rsidR="0DD10847">
        <w:rPr>
          <w:rFonts w:ascii="Calibri" w:hAnsi="Calibri" w:eastAsia="Calibri" w:cs="Calibri"/>
          <w:b w:val="0"/>
          <w:bCs w:val="0"/>
          <w:i w:val="0"/>
          <w:iCs w:val="0"/>
          <w:caps w:val="0"/>
          <w:smallCaps w:val="0"/>
          <w:noProof w:val="0"/>
          <w:color w:val="000000" w:themeColor="text1" w:themeTint="FF" w:themeShade="FF"/>
          <w:sz w:val="22"/>
          <w:szCs w:val="22"/>
          <w:lang w:val="en-US"/>
        </w:rPr>
        <w:t>742868</w:t>
      </w:r>
      <w:r>
        <w:br/>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Dial-In:</w:t>
      </w:r>
      <w:r w:rsidRPr="3EA36D25" w:rsidR="422359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+1 312 626 6799</w:t>
      </w:r>
    </w:p>
    <w:p w:rsidR="48660643" w:rsidP="3EA36D25" w:rsidRDefault="48660643" w14:paraId="03435E84" w14:textId="746A704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638CFD6A" w14:textId="68548EE4">
      <w:pPr>
        <w:pStyle w:val="NoSpacing"/>
        <w:numPr>
          <w:ilvl w:val="0"/>
          <w:numId w:val="4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Call to order</w:t>
      </w:r>
      <w:r>
        <w:tab/>
      </w:r>
      <w:r>
        <w:tab/>
      </w:r>
      <w:r>
        <w:tab/>
      </w:r>
      <w:r>
        <w:tab/>
      </w:r>
      <w:r>
        <w:tab/>
      </w:r>
      <w:r>
        <w:tab/>
      </w:r>
      <w:r>
        <w:tab/>
      </w:r>
      <w:r>
        <w:tab/>
      </w:r>
      <w:r>
        <w:tab/>
      </w:r>
      <w:r>
        <w:tab/>
      </w: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1 min</w:t>
      </w:r>
    </w:p>
    <w:p w:rsidR="48660643" w:rsidP="3EA36D25" w:rsidRDefault="48660643" w14:paraId="104AB415" w14:textId="483FA83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60BC5D4E" w14:textId="2D89A108">
      <w:pPr>
        <w:pStyle w:val="NoSpacing"/>
        <w:numPr>
          <w:ilvl w:val="0"/>
          <w:numId w:val="4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Approval of minutes from last meeting</w:t>
      </w:r>
      <w:r>
        <w:tab/>
      </w:r>
      <w:r>
        <w:tab/>
      </w:r>
      <w:r>
        <w:tab/>
      </w:r>
      <w:r>
        <w:tab/>
      </w:r>
      <w:r>
        <w:tab/>
      </w:r>
      <w:r>
        <w:tab/>
      </w:r>
      <w:r>
        <w:tab/>
      </w: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2 min</w:t>
      </w:r>
    </w:p>
    <w:p w:rsidR="48660643" w:rsidP="3EA36D25" w:rsidRDefault="48660643" w14:paraId="3E3F6768" w14:textId="10643B3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75E50EFF" w14:textId="17A7CA91">
      <w:pPr>
        <w:pStyle w:val="NoSpacing"/>
        <w:numPr>
          <w:ilvl w:val="0"/>
          <w:numId w:val="4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Additions to the Agenda</w:t>
      </w:r>
      <w:r>
        <w:tab/>
      </w:r>
      <w:r>
        <w:tab/>
      </w:r>
      <w:r>
        <w:tab/>
      </w:r>
      <w:r>
        <w:tab/>
      </w:r>
      <w:r>
        <w:tab/>
      </w:r>
      <w:r>
        <w:tab/>
      </w: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tab/>
      </w: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tab/>
      </w: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1 min</w:t>
      </w:r>
    </w:p>
    <w:p w:rsidR="48660643" w:rsidP="3EA36D25" w:rsidRDefault="48660643" w14:paraId="454C64A2" w14:textId="4DA80A5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05FEB234" w14:textId="658269C7">
      <w:pPr>
        <w:pStyle w:val="NoSpacing"/>
        <w:numPr>
          <w:ilvl w:val="0"/>
          <w:numId w:val="4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Old Business</w:t>
      </w:r>
    </w:p>
    <w:p w:rsidR="48660643" w:rsidP="3EA36D25" w:rsidRDefault="48660643" w14:paraId="4FE0F317" w14:textId="03155FF7">
      <w:pPr>
        <w:pStyle w:val="NoSpacing"/>
        <w:numPr>
          <w:ilvl w:val="1"/>
          <w:numId w:val="4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None</w:t>
      </w:r>
    </w:p>
    <w:p w:rsidR="48660643" w:rsidP="3EA36D25" w:rsidRDefault="48660643" w14:paraId="279EDD7E" w14:textId="61180811">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20929A05" w14:textId="5B10D3A7">
      <w:pPr>
        <w:pStyle w:val="NoSpacing"/>
        <w:numPr>
          <w:ilvl w:val="0"/>
          <w:numId w:val="4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1"/>
          <w:bCs w:val="1"/>
          <w:i w:val="0"/>
          <w:iCs w:val="0"/>
          <w:caps w:val="0"/>
          <w:smallCaps w:val="0"/>
          <w:noProof w:val="0"/>
          <w:color w:val="000000" w:themeColor="text1" w:themeTint="FF" w:themeShade="FF"/>
          <w:sz w:val="22"/>
          <w:szCs w:val="22"/>
          <w:lang w:val="en-US"/>
        </w:rPr>
        <w:t>New Business</w:t>
      </w:r>
    </w:p>
    <w:p w:rsidR="48660643" w:rsidP="3EA36D25" w:rsidRDefault="48660643" w14:paraId="5C6EC32A" w14:textId="22BA4BD0">
      <w:pPr>
        <w:pStyle w:val="NoSpacing"/>
        <w:numPr>
          <w:ilvl w:val="1"/>
          <w:numId w:val="44"/>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Overview of Circulation/ILL Advisory Group (PRESENTATION)</w:t>
      </w:r>
      <w:r>
        <w:tab/>
      </w:r>
      <w:r>
        <w:tab/>
      </w:r>
      <w:r>
        <w:tab/>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 min</w:t>
      </w:r>
    </w:p>
    <w:p w:rsidR="48660643" w:rsidP="3EA36D25" w:rsidRDefault="48660643" w14:paraId="324E776E" w14:textId="50378C0D">
      <w:pPr>
        <w:pStyle w:val="NoSpacing"/>
        <w:numPr>
          <w:ilvl w:val="1"/>
          <w:numId w:val="44"/>
        </w:numPr>
        <w:bidi w:val="0"/>
        <w:spacing w:before="0" w:beforeAutospacing="off" w:after="0" w:afterAutospacing="off" w:line="24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Manual Item Recovery in CCS Libraries (ACTION)</w:t>
      </w:r>
      <w:r>
        <w:tab/>
      </w:r>
      <w:r>
        <w:tab/>
      </w:r>
      <w:r>
        <w:tab/>
      </w:r>
      <w:r>
        <w:tab/>
      </w:r>
      <w:r>
        <w:tab/>
      </w:r>
      <w:r w:rsidRPr="3EA36D25" w:rsidR="2026A06A">
        <w:rPr>
          <w:rFonts w:ascii="Calibri" w:hAnsi="Calibri" w:eastAsia="Calibri" w:cs="Calibri"/>
          <w:b w:val="0"/>
          <w:bCs w:val="0"/>
          <w:i w:val="0"/>
          <w:iCs w:val="0"/>
          <w:caps w:val="0"/>
          <w:smallCaps w:val="0"/>
          <w:noProof w:val="0"/>
          <w:color w:val="000000" w:themeColor="text1" w:themeTint="FF" w:themeShade="FF"/>
          <w:sz w:val="22"/>
          <w:szCs w:val="22"/>
          <w:lang w:val="en-US"/>
        </w:rPr>
        <w:t>15</w:t>
      </w:r>
      <w:r w:rsidRPr="3EA36D25" w:rsidR="42D1AE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min</w:t>
      </w:r>
    </w:p>
    <w:p w:rsidR="48660643" w:rsidP="3EA36D25" w:rsidRDefault="48660643" w14:paraId="1D3BBECC" w14:textId="21295753">
      <w:pPr>
        <w:pStyle w:val="NoSpacing"/>
        <w:numPr>
          <w:ilvl w:val="1"/>
          <w:numId w:val="44"/>
        </w:numPr>
        <w:bidi w:val="0"/>
        <w:spacing w:before="0" w:beforeAutospacing="off" w:after="0" w:afterAutospacing="off" w:line="24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63F534F4">
        <w:rPr>
          <w:rFonts w:ascii="Calibri" w:hAnsi="Calibri" w:eastAsia="Calibri" w:cs="Calibri"/>
          <w:b w:val="0"/>
          <w:bCs w:val="0"/>
          <w:i w:val="0"/>
          <w:iCs w:val="0"/>
          <w:caps w:val="0"/>
          <w:smallCaps w:val="0"/>
          <w:noProof w:val="0"/>
          <w:color w:val="000000" w:themeColor="text1" w:themeTint="FF" w:themeShade="FF"/>
          <w:sz w:val="22"/>
          <w:szCs w:val="22"/>
          <w:lang w:val="en-US"/>
        </w:rPr>
        <w:t>Patron Record Single Name Only</w:t>
      </w:r>
      <w:r w:rsidRPr="3EA36D25" w:rsidR="3E2F78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tab/>
      </w:r>
      <w:r>
        <w:tab/>
      </w:r>
      <w:r>
        <w:tab/>
      </w:r>
      <w:r>
        <w:tab/>
      </w:r>
      <w:r>
        <w:tab/>
      </w:r>
      <w:r w:rsidRPr="3EA36D25" w:rsidR="7F791302">
        <w:rPr>
          <w:rFonts w:ascii="Calibri" w:hAnsi="Calibri" w:eastAsia="Calibri" w:cs="Calibri"/>
          <w:b w:val="0"/>
          <w:bCs w:val="0"/>
          <w:i w:val="0"/>
          <w:iCs w:val="0"/>
          <w:caps w:val="0"/>
          <w:smallCaps w:val="0"/>
          <w:noProof w:val="0"/>
          <w:color w:val="000000" w:themeColor="text1" w:themeTint="FF" w:themeShade="FF"/>
          <w:sz w:val="22"/>
          <w:szCs w:val="22"/>
          <w:lang w:val="en-US"/>
        </w:rPr>
        <w:t>20</w:t>
      </w:r>
      <w:r w:rsidRPr="3EA36D25" w:rsidR="63F534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min</w:t>
      </w:r>
    </w:p>
    <w:p w:rsidR="48660643" w:rsidP="3EA36D25" w:rsidRDefault="48660643" w14:paraId="51644E60" w14:textId="69DD95E0">
      <w:pPr>
        <w:pStyle w:val="NoSpacing"/>
        <w:numPr>
          <w:ilvl w:val="2"/>
          <w:numId w:val="44"/>
        </w:numPr>
        <w:bidi w:val="0"/>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00B2597D">
        <w:rPr>
          <w:rFonts w:ascii="Calibri" w:hAnsi="Calibri" w:eastAsia="Calibri" w:cs="Calibri"/>
          <w:b w:val="0"/>
          <w:bCs w:val="0"/>
          <w:i w:val="0"/>
          <w:iCs w:val="0"/>
          <w:caps w:val="0"/>
          <w:smallCaps w:val="0"/>
          <w:noProof w:val="0"/>
          <w:color w:val="000000" w:themeColor="text1" w:themeTint="FF" w:themeShade="FF"/>
          <w:sz w:val="22"/>
          <w:szCs w:val="22"/>
          <w:lang w:val="en-US"/>
        </w:rPr>
        <w:t>Enabling single name only for ILL for Cooperative Computer Services branch</w:t>
      </w:r>
      <w:r w:rsidRPr="3EA36D25" w:rsidR="142AAF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(ACTION)</w:t>
      </w:r>
    </w:p>
    <w:p w:rsidR="48660643" w:rsidP="3EA36D25" w:rsidRDefault="48660643" w14:paraId="182F4DE0" w14:textId="68C34AEA">
      <w:pPr>
        <w:pStyle w:val="NoSpacing"/>
        <w:numPr>
          <w:ilvl w:val="2"/>
          <w:numId w:val="44"/>
        </w:numPr>
        <w:bidi w:val="0"/>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00B259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Enabling single name only for all other CCS libraries </w:t>
      </w:r>
      <w:r w:rsidRPr="3EA36D25" w:rsidR="2B51B82C">
        <w:rPr>
          <w:rFonts w:ascii="Calibri" w:hAnsi="Calibri" w:eastAsia="Calibri" w:cs="Calibri"/>
          <w:b w:val="0"/>
          <w:bCs w:val="0"/>
          <w:i w:val="0"/>
          <w:iCs w:val="0"/>
          <w:caps w:val="0"/>
          <w:smallCaps w:val="0"/>
          <w:noProof w:val="0"/>
          <w:color w:val="000000" w:themeColor="text1" w:themeTint="FF" w:themeShade="FF"/>
          <w:sz w:val="22"/>
          <w:szCs w:val="22"/>
          <w:lang w:val="en-US"/>
        </w:rPr>
        <w:t>(ACTION)</w:t>
      </w:r>
    </w:p>
    <w:p w:rsidR="48660643" w:rsidP="3EA36D25" w:rsidRDefault="48660643" w14:paraId="2A00F6C8" w14:textId="2D8F9B03">
      <w:pPr>
        <w:pStyle w:val="NoSpacing"/>
        <w:numPr>
          <w:ilvl w:val="1"/>
          <w:numId w:val="44"/>
        </w:numPr>
        <w:bidi w:val="0"/>
        <w:spacing w:before="0" w:beforeAutospacing="off" w:after="0" w:afterAutospacing="off" w:line="24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1F6DEB81">
        <w:rPr>
          <w:rFonts w:ascii="Calibri" w:hAnsi="Calibri" w:eastAsia="Calibri" w:cs="Calibri"/>
          <w:b w:val="0"/>
          <w:bCs w:val="0"/>
          <w:i w:val="0"/>
          <w:iCs w:val="0"/>
          <w:caps w:val="0"/>
          <w:smallCaps w:val="0"/>
          <w:noProof w:val="0"/>
          <w:color w:val="000000" w:themeColor="text1" w:themeTint="FF" w:themeShade="FF"/>
          <w:sz w:val="22"/>
          <w:szCs w:val="22"/>
          <w:lang w:val="en-US"/>
        </w:rPr>
        <w:t>MessageBee</w:t>
      </w:r>
      <w:r w:rsidRPr="3EA36D25" w:rsidR="1F6DEB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Automated Non-Blocking Note for Bounces (ACTION)</w:t>
      </w:r>
      <w:r>
        <w:tab/>
      </w:r>
      <w:r>
        <w:tab/>
      </w:r>
      <w:r w:rsidRPr="3EA36D25" w:rsidR="1F6DEB81">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3EA36D25" w:rsidR="2B47CA9D">
        <w:rPr>
          <w:rFonts w:ascii="Calibri" w:hAnsi="Calibri" w:eastAsia="Calibri" w:cs="Calibri"/>
          <w:b w:val="0"/>
          <w:bCs w:val="0"/>
          <w:i w:val="0"/>
          <w:iCs w:val="0"/>
          <w:caps w:val="0"/>
          <w:smallCaps w:val="0"/>
          <w:noProof w:val="0"/>
          <w:color w:val="000000" w:themeColor="text1" w:themeTint="FF" w:themeShade="FF"/>
          <w:sz w:val="22"/>
          <w:szCs w:val="22"/>
          <w:lang w:val="en-US"/>
        </w:rPr>
        <w:t>0</w:t>
      </w:r>
      <w:r w:rsidRPr="3EA36D25" w:rsidR="1F6DEB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min</w:t>
      </w:r>
    </w:p>
    <w:p w:rsidR="48660643" w:rsidP="3EA36D25" w:rsidRDefault="48660643" w14:paraId="212172F8" w14:textId="24D0D35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0A4F8CDA" w14:textId="344F1B8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6F287974" w14:textId="0DF5327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257B424A" w14:textId="4CBF7F9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48660643" w:rsidP="3EA36D25" w:rsidRDefault="48660643" w14:paraId="3DF97AD5" w14:textId="488C6E86">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3EA36D25" w:rsidR="42D1AE85">
        <w:rPr>
          <w:rFonts w:ascii="Arial" w:hAnsi="Arial" w:eastAsia="Arial" w:cs="Arial"/>
          <w:b w:val="1"/>
          <w:bCs w:val="1"/>
          <w:i w:val="0"/>
          <w:iCs w:val="0"/>
          <w:caps w:val="0"/>
          <w:smallCaps w:val="0"/>
          <w:noProof w:val="0"/>
          <w:color w:val="000000" w:themeColor="text1" w:themeTint="FF" w:themeShade="FF"/>
          <w:sz w:val="20"/>
          <w:szCs w:val="20"/>
          <w:lang w:val="en-US"/>
        </w:rPr>
        <w:t>Adjournment</w:t>
      </w:r>
    </w:p>
    <w:p w:rsidR="48660643" w:rsidP="3EA36D25" w:rsidRDefault="48660643" w14:paraId="1A3488EA" w14:textId="4B669754">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48660643" w:rsidP="3EA36D25" w:rsidRDefault="48660643" w14:paraId="2AF95967" w14:textId="18421FF3">
      <w:pPr>
        <w:pStyle w:val="Normal"/>
        <w:spacing w:after="0" w:line="240" w:lineRule="auto"/>
        <w:rPr>
          <w:rFonts w:ascii="Arial" w:hAnsi="Arial" w:eastAsia="Arial" w:cs="Arial"/>
          <w:b w:val="1"/>
          <w:bCs w:val="1"/>
          <w:i w:val="0"/>
          <w:iCs w:val="0"/>
          <w:caps w:val="0"/>
          <w:smallCaps w:val="0"/>
          <w:noProof w:val="0"/>
          <w:color w:val="000000" w:themeColor="text1" w:themeTint="FF" w:themeShade="FF"/>
          <w:sz w:val="20"/>
          <w:szCs w:val="20"/>
          <w:lang w:val="en-US"/>
        </w:rPr>
      </w:pPr>
    </w:p>
    <w:p w:rsidR="48660643" w:rsidP="3EA36D25" w:rsidRDefault="48660643" w14:paraId="6E18202D" w14:textId="31C16CC7">
      <w:pPr>
        <w:pStyle w:val="Normal"/>
        <w:spacing w:after="0" w:line="240" w:lineRule="auto"/>
        <w:jc w:val="center"/>
        <w:rPr>
          <w:rFonts w:ascii="Arial" w:hAnsi="Arial" w:eastAsia="Arial" w:cs="Arial"/>
          <w:b w:val="1"/>
          <w:bCs w:val="1"/>
          <w:i w:val="0"/>
          <w:iCs w:val="0"/>
          <w:caps w:val="0"/>
          <w:smallCaps w:val="0"/>
          <w:noProof w:val="0"/>
          <w:color w:val="000000" w:themeColor="text1" w:themeTint="FF" w:themeShade="FF"/>
          <w:sz w:val="20"/>
          <w:szCs w:val="20"/>
          <w:lang w:val="en-US"/>
        </w:rPr>
      </w:pPr>
      <w:r w:rsidRPr="3EA36D25" w:rsidR="287C7E68">
        <w:rPr>
          <w:rFonts w:ascii="Arial" w:hAnsi="Arial" w:eastAsia="Arial" w:cs="Arial"/>
          <w:b w:val="1"/>
          <w:bCs w:val="1"/>
          <w:i w:val="0"/>
          <w:iCs w:val="0"/>
          <w:caps w:val="0"/>
          <w:smallCaps w:val="0"/>
          <w:noProof w:val="0"/>
          <w:color w:val="000000" w:themeColor="text1" w:themeTint="FF" w:themeShade="FF"/>
          <w:sz w:val="20"/>
          <w:szCs w:val="20"/>
          <w:lang w:val="en-US"/>
        </w:rPr>
        <w:t xml:space="preserve">Next meeting </w:t>
      </w:r>
      <w:r w:rsidRPr="3EA36D25" w:rsidR="0B62C851">
        <w:rPr>
          <w:rFonts w:ascii="Arial" w:hAnsi="Arial" w:eastAsia="Arial" w:cs="Arial"/>
          <w:b w:val="1"/>
          <w:bCs w:val="1"/>
          <w:i w:val="0"/>
          <w:iCs w:val="0"/>
          <w:caps w:val="0"/>
          <w:smallCaps w:val="0"/>
          <w:noProof w:val="0"/>
          <w:color w:val="000000" w:themeColor="text1" w:themeTint="FF" w:themeShade="FF"/>
          <w:sz w:val="20"/>
          <w:szCs w:val="20"/>
          <w:lang w:val="en-US"/>
        </w:rPr>
        <w:t>will be held December 15, 2023 via Zoom</w:t>
      </w:r>
    </w:p>
    <w:p w:rsidR="48660643" w:rsidP="3EA36D25" w:rsidRDefault="48660643" w14:paraId="62401090" w14:textId="75B5D19E">
      <w:pPr>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48660643" w:rsidP="3EA36D25" w:rsidRDefault="48660643" w14:paraId="4A5EC188" w14:textId="0E3E40B4">
      <w:pPr>
        <w:pStyle w:val="NoSpacing"/>
        <w:spacing w:after="0" w:line="240" w:lineRule="auto"/>
        <w:jc w:val="center"/>
        <w:rPr>
          <w:rFonts w:ascii="Arial" w:hAnsi="Arial" w:eastAsia="Arial" w:cs="Arial"/>
          <w:b w:val="0"/>
          <w:bCs w:val="0"/>
          <w:i w:val="0"/>
          <w:iCs w:val="0"/>
          <w:caps w:val="0"/>
          <w:smallCaps w:val="0"/>
          <w:noProof w:val="0"/>
          <w:color w:val="201F1E"/>
          <w:sz w:val="19"/>
          <w:szCs w:val="19"/>
          <w:lang w:val="en-US"/>
        </w:rPr>
      </w:pPr>
      <w:r w:rsidRPr="3EA36D25" w:rsidR="42D1AE85">
        <w:rPr>
          <w:rFonts w:ascii="Arial" w:hAnsi="Arial" w:eastAsia="Arial" w:cs="Arial"/>
          <w:b w:val="0"/>
          <w:bCs w:val="0"/>
          <w:i w:val="0"/>
          <w:iCs w:val="0"/>
          <w:caps w:val="0"/>
          <w:smallCaps w:val="0"/>
          <w:noProof w:val="0"/>
          <w:color w:val="201F1E"/>
          <w:sz w:val="19"/>
          <w:szCs w:val="19"/>
          <w:lang w:val="en-US"/>
        </w:rPr>
        <w:t>All matters on the agenda may be discussed, amended, and acted upon</w:t>
      </w:r>
    </w:p>
    <w:p w:rsidR="48660643" w:rsidP="3EA36D25" w:rsidRDefault="48660643" w14:paraId="1B841CE6" w14:textId="40106A88">
      <w:pPr>
        <w:keepNext w:val="1"/>
        <w:keepLines w:val="1"/>
        <w:spacing w:before="40"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48660643" w:rsidP="667D9899" w:rsidRDefault="48660643" w14:paraId="0C47DAD2" w14:textId="0377EE66">
      <w:pPr>
        <w:spacing w:after="160" w:line="257" w:lineRule="auto"/>
      </w:pPr>
      <w:r>
        <w:br w:type="page"/>
      </w:r>
    </w:p>
    <w:p w:rsidR="48660643" w:rsidP="3EA36D25" w:rsidRDefault="48660643" w14:paraId="3DE59B51" w14:textId="26C5991F">
      <w:pPr>
        <w:pStyle w:val="Normal"/>
        <w:keepNext w:val="1"/>
        <w:keepLines w:val="1"/>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r w:rsidRPr="3EA36D25" w:rsidR="679DA9BB">
        <w:rPr>
          <w:rStyle w:val="Heading1Cha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 xml:space="preserve">5a. </w:t>
      </w:r>
      <w:r w:rsidRPr="3EA36D25" w:rsidR="48660643">
        <w:rPr>
          <w:rStyle w:val="Heading1Cha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Overview of Circulation/ILL Advisory Group</w:t>
      </w:r>
    </w:p>
    <w:p w:rsidR="48660643" w:rsidP="3EA36D25" w:rsidRDefault="48660643" w14:paraId="1D9C7B6C" w14:textId="747459E0">
      <w:pPr>
        <w:pStyle w:val="Normal"/>
        <w:spacing w:after="160" w:line="257" w:lineRule="auto"/>
        <w:rPr>
          <w:rFonts w:ascii="Trebuchet MS" w:hAnsi="Trebuchet MS" w:eastAsia="Trebuchet MS" w:cs="Trebuchet MS"/>
          <w:b w:val="0"/>
          <w:bCs w:val="0"/>
          <w:i w:val="0"/>
          <w:iCs w:val="0"/>
          <w:caps w:val="0"/>
          <w:smallCaps w:val="0"/>
          <w:noProof w:val="0"/>
          <w:color w:val="000000" w:themeColor="text1" w:themeTint="FF" w:themeShade="FF"/>
          <w:sz w:val="40"/>
          <w:szCs w:val="40"/>
          <w:lang w:val="en-US"/>
        </w:rPr>
      </w:pPr>
      <w:r w:rsidRPr="3EA36D25" w:rsidR="48660643">
        <w:rPr>
          <w:rFonts w:ascii="Trebuchet MS" w:hAnsi="Trebuchet MS" w:eastAsia="Trebuchet MS" w:cs="Trebuchet MS"/>
          <w:b w:val="0"/>
          <w:bCs w:val="0"/>
          <w:i w:val="0"/>
          <w:iCs w:val="0"/>
          <w:caps w:val="0"/>
          <w:smallCaps w:val="0"/>
          <w:noProof w:val="0"/>
          <w:color w:val="000000" w:themeColor="text1" w:themeTint="FF" w:themeShade="FF"/>
          <w:sz w:val="44"/>
          <w:szCs w:val="44"/>
          <w:lang w:val="en-US"/>
        </w:rPr>
        <w:t xml:space="preserve">     </w:t>
      </w:r>
      <w:r w:rsidR="48660643">
        <w:drawing>
          <wp:inline wp14:editId="638A96B5" wp14:anchorId="5F113891">
            <wp:extent cx="495300" cy="332462"/>
            <wp:effectExtent l="0" t="0" r="0" b="0"/>
            <wp:docPr id="1837115768" name="" title=""/>
            <wp:cNvGraphicFramePr>
              <a:graphicFrameLocks noChangeAspect="1"/>
            </wp:cNvGraphicFramePr>
            <a:graphic>
              <a:graphicData uri="http://schemas.openxmlformats.org/drawingml/2006/picture">
                <pic:pic>
                  <pic:nvPicPr>
                    <pic:cNvPr id="0" name=""/>
                    <pic:cNvPicPr/>
                  </pic:nvPicPr>
                  <pic:blipFill>
                    <a:blip r:embed="Rd1aeacf49c0f414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5300" cy="332462"/>
                    </a:xfrm>
                    <a:prstGeom prst="rect">
                      <a:avLst/>
                    </a:prstGeom>
                  </pic:spPr>
                </pic:pic>
              </a:graphicData>
            </a:graphic>
          </wp:inline>
        </w:drawing>
      </w:r>
      <w:r w:rsidRPr="3EA36D25" w:rsidR="06AAD316">
        <w:rPr>
          <w:rFonts w:ascii="Trebuchet MS" w:hAnsi="Trebuchet MS" w:eastAsia="Trebuchet MS" w:cs="Trebuchet MS"/>
          <w:b w:val="0"/>
          <w:bCs w:val="0"/>
          <w:i w:val="0"/>
          <w:iCs w:val="0"/>
          <w:caps w:val="0"/>
          <w:smallCaps w:val="0"/>
          <w:noProof w:val="0"/>
          <w:color w:val="000000" w:themeColor="text1" w:themeTint="FF" w:themeShade="FF"/>
          <w:sz w:val="32"/>
          <w:szCs w:val="32"/>
          <w:lang w:val="en-US"/>
        </w:rPr>
        <w:t xml:space="preserve">  </w:t>
      </w:r>
      <w:r w:rsidRPr="3EA36D25" w:rsidR="48660643">
        <w:rPr>
          <w:rFonts w:ascii="Trebuchet MS" w:hAnsi="Trebuchet MS" w:eastAsia="Trebuchet MS" w:cs="Trebuchet MS"/>
          <w:b w:val="0"/>
          <w:bCs w:val="0"/>
          <w:i w:val="0"/>
          <w:iCs w:val="0"/>
          <w:caps w:val="0"/>
          <w:smallCaps w:val="0"/>
          <w:noProof w:val="0"/>
          <w:color w:val="000000" w:themeColor="text1" w:themeTint="FF" w:themeShade="FF"/>
          <w:sz w:val="32"/>
          <w:szCs w:val="32"/>
          <w:lang w:val="en-US"/>
        </w:rPr>
        <w:t xml:space="preserve">Advisory Group Member Job Description </w:t>
      </w:r>
    </w:p>
    <w:p w:rsidR="48660643" w:rsidP="3EA36D25" w:rsidRDefault="48660643" w14:paraId="2D44B776" w14:textId="076BE9D2">
      <w:pPr>
        <w:spacing w:after="160" w:line="257" w:lineRule="auto"/>
        <w:ind w:left="10" w:hanging="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Advisory groups consult with CCS on potential system configuration changes, </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 research and testing, and recommend policy changes and best practices to their associated technical groups</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8660643" w:rsidP="3EA36D25" w:rsidRDefault="48660643" w14:paraId="777916AC" w14:textId="06AD6567">
      <w:pPr>
        <w:spacing w:after="160" w:line="257" w:lineRule="auto"/>
        <w:ind w:left="10" w:hanging="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Advisory group members are expected to: </w:t>
      </w:r>
    </w:p>
    <w:p w:rsidR="48660643" w:rsidP="3EA36D25" w:rsidRDefault="48660643" w14:paraId="03D13513" w14:textId="30AB918B">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Use their </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expertise</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knowledge to </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represent</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CCS community </w:t>
      </w:r>
    </w:p>
    <w:p w:rsidR="48660643" w:rsidP="3EA36D25" w:rsidRDefault="48660643" w14:paraId="7536B7B7" w14:textId="4BD110AB">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Participate in 4 advisory group meetings per year </w:t>
      </w:r>
    </w:p>
    <w:p w:rsidR="48660643" w:rsidP="3EA36D25" w:rsidRDefault="48660643" w14:paraId="5D4F1BC6" w14:textId="68B78C8C">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Participate in 4 associated technical group meetings per year </w:t>
      </w:r>
    </w:p>
    <w:p w:rsidR="48660643" w:rsidP="3EA36D25" w:rsidRDefault="48660643" w14:paraId="1F6FDB81" w14:textId="449BCF99">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Engage in online, asynchronous conversation and research between meetings </w:t>
      </w:r>
    </w:p>
    <w:p w:rsidR="48660643" w:rsidP="3EA36D25" w:rsidRDefault="48660643" w14:paraId="2BC7A1D2" w14:textId="14ABDFE8">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Work with CCS staff to present findings and recommendations as needed. </w:t>
      </w:r>
      <w:r>
        <w:br/>
      </w:r>
      <w:r>
        <w:br/>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Interested staff can self-nominate, or directors can nominate on behalf of their library. All participants must have </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director</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approval</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667D9899" w:rsidP="667D9899" w:rsidRDefault="667D9899" w14:paraId="1F1F8735" w14:textId="01AF201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27F20825" w14:textId="664A0443">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3EA36D25" w:rsidR="48660643">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 xml:space="preserve">Decision Matrix for ILS Setting or Procedure Changes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75"/>
        <w:gridCol w:w="1362"/>
        <w:gridCol w:w="1762"/>
        <w:gridCol w:w="1722"/>
        <w:gridCol w:w="1538"/>
      </w:tblGrid>
      <w:tr w:rsidR="667D9899" w:rsidTr="667D9899" w14:paraId="2D699DBC">
        <w:trPr>
          <w:trHeight w:val="525"/>
        </w:trPr>
        <w:tc>
          <w:tcPr>
            <w:tcW w:w="3075" w:type="dxa"/>
            <w:tcBorders>
              <w:top w:val="single" w:color="000000" w:themeColor="text1" w:sz="6"/>
              <w:left w:val="single" w:color="000000" w:themeColor="text1" w:sz="6"/>
              <w:bottom w:val="single" w:color="000000" w:themeColor="text1" w:sz="6"/>
              <w:right w:val="nil"/>
            </w:tcBorders>
            <w:tcMar>
              <w:left w:w="105" w:type="dxa"/>
              <w:right w:w="105" w:type="dxa"/>
            </w:tcMar>
            <w:vAlign w:val="bottom"/>
          </w:tcPr>
          <w:p w:rsidR="667D9899" w:rsidP="667D9899" w:rsidRDefault="667D9899" w14:paraId="4DD46EE6" w14:textId="187D321C">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 </w:t>
            </w:r>
          </w:p>
        </w:tc>
        <w:tc>
          <w:tcPr>
            <w:tcW w:w="1362" w:type="dxa"/>
            <w:tcBorders>
              <w:top w:val="single" w:color="000000" w:themeColor="text1" w:sz="6"/>
              <w:left w:val="nil"/>
              <w:bottom w:val="single" w:color="000000" w:themeColor="text1" w:sz="6"/>
              <w:right w:val="nil"/>
            </w:tcBorders>
            <w:tcMar>
              <w:left w:w="105" w:type="dxa"/>
              <w:right w:w="105" w:type="dxa"/>
            </w:tcMar>
            <w:vAlign w:val="top"/>
          </w:tcPr>
          <w:p w:rsidR="667D9899" w:rsidP="667D9899" w:rsidRDefault="667D9899" w14:paraId="39B95C7F" w14:textId="44CABB17">
            <w:pPr>
              <w:spacing w:line="257" w:lineRule="auto"/>
              <w:ind w:left="0" w:hanging="0"/>
              <w:jc w:val="center"/>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1"/>
                <w:bCs w:val="1"/>
                <w:i w:val="0"/>
                <w:iCs w:val="0"/>
                <w:color w:val="000000" w:themeColor="text1" w:themeTint="FF" w:themeShade="FF"/>
                <w:sz w:val="22"/>
                <w:szCs w:val="22"/>
                <w:lang w:val="en-US"/>
              </w:rPr>
              <w:t>Governing</w:t>
            </w:r>
          </w:p>
          <w:p w:rsidR="667D9899" w:rsidP="667D9899" w:rsidRDefault="667D9899" w14:paraId="0407EBA3" w14:textId="6D0F4984">
            <w:pPr>
              <w:spacing w:line="257" w:lineRule="auto"/>
              <w:ind w:left="0" w:hanging="0"/>
              <w:jc w:val="center"/>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1"/>
                <w:bCs w:val="1"/>
                <w:i w:val="0"/>
                <w:iCs w:val="0"/>
                <w:color w:val="000000" w:themeColor="text1" w:themeTint="FF" w:themeShade="FF"/>
                <w:sz w:val="22"/>
                <w:szCs w:val="22"/>
                <w:lang w:val="en-US"/>
              </w:rPr>
              <w:t xml:space="preserve">Board </w:t>
            </w:r>
          </w:p>
        </w:tc>
        <w:tc>
          <w:tcPr>
            <w:tcW w:w="1762" w:type="dxa"/>
            <w:tcBorders>
              <w:top w:val="single" w:color="000000" w:themeColor="text1" w:sz="6"/>
              <w:left w:val="nil"/>
              <w:bottom w:val="single" w:color="000000" w:themeColor="text1" w:sz="6"/>
              <w:right w:val="nil"/>
            </w:tcBorders>
            <w:tcMar>
              <w:left w:w="105" w:type="dxa"/>
              <w:right w:w="105" w:type="dxa"/>
            </w:tcMar>
            <w:vAlign w:val="top"/>
          </w:tcPr>
          <w:p w:rsidR="667D9899" w:rsidP="667D9899" w:rsidRDefault="667D9899" w14:paraId="087C60B0" w14:textId="6824512E">
            <w:pPr>
              <w:spacing w:line="257" w:lineRule="auto"/>
              <w:ind w:left="175" w:hanging="175"/>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1"/>
                <w:bCs w:val="1"/>
                <w:i w:val="0"/>
                <w:iCs w:val="0"/>
                <w:color w:val="000000" w:themeColor="text1" w:themeTint="FF" w:themeShade="FF"/>
                <w:sz w:val="22"/>
                <w:szCs w:val="22"/>
                <w:lang w:val="en-US"/>
              </w:rPr>
              <w:t xml:space="preserve">Technical Group </w:t>
            </w:r>
          </w:p>
        </w:tc>
        <w:tc>
          <w:tcPr>
            <w:tcW w:w="172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6D6FEBAF" w14:textId="5506D0C9">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1"/>
                <w:bCs w:val="1"/>
                <w:i w:val="0"/>
                <w:iCs w:val="0"/>
                <w:color w:val="000000" w:themeColor="text1" w:themeTint="FF" w:themeShade="FF"/>
                <w:sz w:val="22"/>
                <w:szCs w:val="22"/>
                <w:lang w:val="en-US"/>
              </w:rPr>
              <w:t xml:space="preserve">CCS Staff </w:t>
            </w:r>
          </w:p>
        </w:tc>
        <w:tc>
          <w:tcPr>
            <w:tcW w:w="1538" w:type="dxa"/>
            <w:tcBorders>
              <w:top w:val="single" w:color="000000" w:themeColor="text1" w:sz="6"/>
              <w:left w:val="nil"/>
              <w:bottom w:val="single" w:color="000000" w:themeColor="text1" w:sz="6"/>
              <w:right w:val="single" w:color="000000" w:themeColor="text1" w:sz="6"/>
            </w:tcBorders>
            <w:tcMar>
              <w:left w:w="105" w:type="dxa"/>
              <w:right w:w="105" w:type="dxa"/>
            </w:tcMar>
            <w:vAlign w:val="top"/>
          </w:tcPr>
          <w:p w:rsidR="667D9899" w:rsidP="667D9899" w:rsidRDefault="667D9899" w14:paraId="25B86094" w14:textId="6F0A23EE">
            <w:pPr>
              <w:spacing w:line="257" w:lineRule="auto"/>
              <w:ind w:left="135" w:hanging="135"/>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1"/>
                <w:bCs w:val="1"/>
                <w:i w:val="0"/>
                <w:iCs w:val="0"/>
                <w:color w:val="000000" w:themeColor="text1" w:themeTint="FF" w:themeShade="FF"/>
                <w:sz w:val="22"/>
                <w:szCs w:val="22"/>
                <w:lang w:val="en-US"/>
              </w:rPr>
              <w:t xml:space="preserve">Advisory Group </w:t>
            </w:r>
          </w:p>
        </w:tc>
      </w:tr>
      <w:tr w:rsidR="667D9899" w:rsidTr="667D9899" w14:paraId="554CE73D">
        <w:trPr>
          <w:trHeight w:val="810"/>
        </w:trPr>
        <w:tc>
          <w:tcPr>
            <w:tcW w:w="3075" w:type="dxa"/>
            <w:tcBorders>
              <w:top w:val="single" w:color="000000" w:themeColor="text1" w:sz="6"/>
              <w:left w:val="single" w:color="000000" w:themeColor="text1" w:sz="6"/>
              <w:bottom w:val="single" w:color="000000" w:themeColor="text1" w:sz="6"/>
              <w:right w:val="nil"/>
            </w:tcBorders>
            <w:tcMar>
              <w:left w:w="105" w:type="dxa"/>
              <w:right w:w="105" w:type="dxa"/>
            </w:tcMar>
            <w:vAlign w:val="top"/>
          </w:tcPr>
          <w:p w:rsidR="667D9899" w:rsidP="667D9899" w:rsidRDefault="667D9899" w14:paraId="3BCCD259" w14:textId="3019DAB2">
            <w:pPr>
              <w:pStyle w:val="ListParagraph"/>
              <w:numPr>
                <w:ilvl w:val="0"/>
                <w:numId w:val="8"/>
              </w:numPr>
              <w:spacing w:line="259" w:lineRule="auto"/>
              <w:rPr>
                <w:rFonts w:ascii="Calibri" w:hAnsi="Calibri" w:eastAsia="Calibri" w:cs="Calibri"/>
                <w:b w:val="0"/>
                <w:bCs w:val="0"/>
                <w:i w:val="0"/>
                <w:iCs w:val="0"/>
                <w:sz w:val="22"/>
                <w:szCs w:val="22"/>
              </w:rPr>
            </w:pPr>
            <w:r w:rsidRPr="667D9899" w:rsidR="667D9899">
              <w:rPr>
                <w:rFonts w:ascii="Calibri" w:hAnsi="Calibri" w:eastAsia="Calibri" w:cs="Calibri"/>
                <w:b w:val="0"/>
                <w:bCs w:val="0"/>
                <w:i w:val="0"/>
                <w:iCs w:val="0"/>
                <w:sz w:val="22"/>
                <w:szCs w:val="22"/>
                <w:lang w:val="en-US"/>
              </w:rPr>
              <w:t xml:space="preserve">No change to workflow AND </w:t>
            </w:r>
          </w:p>
          <w:p w:rsidR="667D9899" w:rsidP="667D9899" w:rsidRDefault="667D9899" w14:paraId="64A66403" w14:textId="4A34CA71">
            <w:pPr>
              <w:pStyle w:val="ListParagraph"/>
              <w:numPr>
                <w:ilvl w:val="0"/>
                <w:numId w:val="8"/>
              </w:numPr>
              <w:spacing w:line="259" w:lineRule="auto"/>
              <w:rPr>
                <w:rFonts w:ascii="Calibri" w:hAnsi="Calibri" w:eastAsia="Calibri" w:cs="Calibri"/>
                <w:b w:val="0"/>
                <w:bCs w:val="0"/>
                <w:i w:val="0"/>
                <w:iCs w:val="0"/>
                <w:sz w:val="22"/>
                <w:szCs w:val="22"/>
              </w:rPr>
            </w:pPr>
            <w:r w:rsidRPr="667D9899" w:rsidR="667D9899">
              <w:rPr>
                <w:rFonts w:ascii="Calibri" w:hAnsi="Calibri" w:eastAsia="Calibri" w:cs="Calibri"/>
                <w:b w:val="0"/>
                <w:bCs w:val="0"/>
                <w:i w:val="0"/>
                <w:iCs w:val="0"/>
                <w:sz w:val="22"/>
                <w:szCs w:val="22"/>
                <w:lang w:val="en-US"/>
              </w:rPr>
              <w:t xml:space="preserve">No financial or HR impact </w:t>
            </w:r>
          </w:p>
        </w:tc>
        <w:tc>
          <w:tcPr>
            <w:tcW w:w="136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173B489D" w14:textId="518DA24C">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Informed </w:t>
            </w:r>
          </w:p>
        </w:tc>
        <w:tc>
          <w:tcPr>
            <w:tcW w:w="176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6266C837" w14:textId="34A451C8">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Informed </w:t>
            </w:r>
          </w:p>
        </w:tc>
        <w:tc>
          <w:tcPr>
            <w:tcW w:w="172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1CAC270F" w14:textId="6369D133">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Approve </w:t>
            </w:r>
          </w:p>
        </w:tc>
        <w:tc>
          <w:tcPr>
            <w:tcW w:w="1538" w:type="dxa"/>
            <w:tcBorders>
              <w:top w:val="single" w:color="000000" w:themeColor="text1" w:sz="6"/>
              <w:left w:val="nil"/>
              <w:bottom w:val="single" w:color="000000" w:themeColor="text1" w:sz="6"/>
              <w:right w:val="single" w:color="000000" w:themeColor="text1" w:sz="6"/>
            </w:tcBorders>
            <w:tcMar>
              <w:left w:w="105" w:type="dxa"/>
              <w:right w:w="105" w:type="dxa"/>
            </w:tcMar>
            <w:vAlign w:val="bottom"/>
          </w:tcPr>
          <w:p w:rsidR="667D9899" w:rsidP="667D9899" w:rsidRDefault="667D9899" w14:paraId="21878E06" w14:textId="4E9D341F">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Recommend </w:t>
            </w:r>
          </w:p>
        </w:tc>
      </w:tr>
      <w:tr w:rsidR="667D9899" w:rsidTr="667D9899" w14:paraId="7A516504">
        <w:trPr>
          <w:trHeight w:val="540"/>
        </w:trPr>
        <w:tc>
          <w:tcPr>
            <w:tcW w:w="3075" w:type="dxa"/>
            <w:tcBorders>
              <w:top w:val="single" w:color="000000" w:themeColor="text1" w:sz="6"/>
              <w:left w:val="single" w:color="000000" w:themeColor="text1" w:sz="6"/>
              <w:bottom w:val="single" w:color="000000" w:themeColor="text1" w:sz="6"/>
              <w:right w:val="nil"/>
            </w:tcBorders>
            <w:tcMar>
              <w:left w:w="105" w:type="dxa"/>
              <w:right w:w="105" w:type="dxa"/>
            </w:tcMar>
            <w:vAlign w:val="top"/>
          </w:tcPr>
          <w:p w:rsidR="667D9899" w:rsidP="667D9899" w:rsidRDefault="667D9899" w14:paraId="78FE6DD6" w14:textId="3D04F53E">
            <w:pPr>
              <w:pStyle w:val="ListParagraph"/>
              <w:numPr>
                <w:ilvl w:val="0"/>
                <w:numId w:val="10"/>
              </w:numPr>
              <w:spacing w:line="259" w:lineRule="auto"/>
              <w:rPr>
                <w:rFonts w:ascii="Calibri" w:hAnsi="Calibri" w:eastAsia="Calibri" w:cs="Calibri"/>
                <w:b w:val="0"/>
                <w:bCs w:val="0"/>
                <w:i w:val="0"/>
                <w:iCs w:val="0"/>
                <w:sz w:val="22"/>
                <w:szCs w:val="22"/>
              </w:rPr>
            </w:pPr>
            <w:r w:rsidRPr="667D9899" w:rsidR="667D9899">
              <w:rPr>
                <w:rFonts w:ascii="Calibri" w:hAnsi="Calibri" w:eastAsia="Calibri" w:cs="Calibri"/>
                <w:b w:val="0"/>
                <w:bCs w:val="0"/>
                <w:i w:val="0"/>
                <w:iCs w:val="0"/>
                <w:sz w:val="22"/>
                <w:szCs w:val="22"/>
                <w:lang w:val="en-US"/>
              </w:rPr>
              <w:t xml:space="preserve">Change to workflow AND </w:t>
            </w:r>
          </w:p>
          <w:p w:rsidR="667D9899" w:rsidP="667D9899" w:rsidRDefault="667D9899" w14:paraId="797867B0" w14:textId="7F211B43">
            <w:pPr>
              <w:pStyle w:val="ListParagraph"/>
              <w:numPr>
                <w:ilvl w:val="0"/>
                <w:numId w:val="10"/>
              </w:numPr>
              <w:spacing w:line="259" w:lineRule="auto"/>
              <w:rPr>
                <w:rFonts w:ascii="Calibri" w:hAnsi="Calibri" w:eastAsia="Calibri" w:cs="Calibri"/>
                <w:b w:val="0"/>
                <w:bCs w:val="0"/>
                <w:i w:val="0"/>
                <w:iCs w:val="0"/>
                <w:sz w:val="22"/>
                <w:szCs w:val="22"/>
              </w:rPr>
            </w:pPr>
            <w:r w:rsidRPr="667D9899" w:rsidR="667D9899">
              <w:rPr>
                <w:rFonts w:ascii="Calibri" w:hAnsi="Calibri" w:eastAsia="Calibri" w:cs="Calibri"/>
                <w:b w:val="0"/>
                <w:bCs w:val="0"/>
                <w:i w:val="0"/>
                <w:iCs w:val="0"/>
                <w:sz w:val="22"/>
                <w:szCs w:val="22"/>
                <w:lang w:val="en-US"/>
              </w:rPr>
              <w:t>No financial or HR impact</w:t>
            </w:r>
            <w:r w:rsidRPr="667D9899" w:rsidR="667D9899">
              <w:rPr>
                <w:rFonts w:ascii="Calibri" w:hAnsi="Calibri" w:eastAsia="Calibri" w:cs="Calibri"/>
                <w:b w:val="1"/>
                <w:bCs w:val="1"/>
                <w:i w:val="0"/>
                <w:iCs w:val="0"/>
                <w:sz w:val="22"/>
                <w:szCs w:val="22"/>
                <w:lang w:val="en-US"/>
              </w:rPr>
              <w:t xml:space="preserve"> </w:t>
            </w:r>
          </w:p>
        </w:tc>
        <w:tc>
          <w:tcPr>
            <w:tcW w:w="136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011DE97D" w14:textId="7AF10C21">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Informed </w:t>
            </w:r>
          </w:p>
        </w:tc>
        <w:tc>
          <w:tcPr>
            <w:tcW w:w="176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23A8DAC3" w14:textId="2DB7494D">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Approve </w:t>
            </w:r>
          </w:p>
        </w:tc>
        <w:tc>
          <w:tcPr>
            <w:tcW w:w="172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1FE24AD3" w14:textId="664B7811">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 </w:t>
            </w:r>
          </w:p>
        </w:tc>
        <w:tc>
          <w:tcPr>
            <w:tcW w:w="1538" w:type="dxa"/>
            <w:tcBorders>
              <w:top w:val="single" w:color="000000" w:themeColor="text1" w:sz="6"/>
              <w:left w:val="nil"/>
              <w:bottom w:val="single" w:color="000000" w:themeColor="text1" w:sz="6"/>
              <w:right w:val="single" w:color="000000" w:themeColor="text1" w:sz="6"/>
            </w:tcBorders>
            <w:tcMar>
              <w:left w:w="105" w:type="dxa"/>
              <w:right w:w="105" w:type="dxa"/>
            </w:tcMar>
            <w:vAlign w:val="bottom"/>
          </w:tcPr>
          <w:p w:rsidR="667D9899" w:rsidP="667D9899" w:rsidRDefault="667D9899" w14:paraId="3F8BFC15" w14:textId="42386E7C">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Recommend </w:t>
            </w:r>
          </w:p>
        </w:tc>
      </w:tr>
      <w:tr w:rsidR="667D9899" w:rsidTr="667D9899" w14:paraId="4B7A0BC9">
        <w:trPr>
          <w:trHeight w:val="1335"/>
        </w:trPr>
        <w:tc>
          <w:tcPr>
            <w:tcW w:w="3075" w:type="dxa"/>
            <w:tcBorders>
              <w:top w:val="single" w:color="000000" w:themeColor="text1" w:sz="6"/>
              <w:left w:val="single" w:color="000000" w:themeColor="text1" w:sz="6"/>
              <w:bottom w:val="single" w:color="000000" w:themeColor="text1" w:sz="6"/>
              <w:right w:val="nil"/>
            </w:tcBorders>
            <w:tcMar>
              <w:left w:w="105" w:type="dxa"/>
              <w:right w:w="105" w:type="dxa"/>
            </w:tcMar>
            <w:vAlign w:val="top"/>
          </w:tcPr>
          <w:p w:rsidR="667D9899" w:rsidP="667D9899" w:rsidRDefault="667D9899" w14:paraId="4D77DB03" w14:textId="7DE65147">
            <w:pPr>
              <w:pStyle w:val="ListParagraph"/>
              <w:numPr>
                <w:ilvl w:val="0"/>
                <w:numId w:val="12"/>
              </w:numPr>
              <w:spacing w:line="259" w:lineRule="auto"/>
              <w:rPr>
                <w:rFonts w:ascii="Calibri" w:hAnsi="Calibri" w:eastAsia="Calibri" w:cs="Calibri"/>
                <w:b w:val="0"/>
                <w:bCs w:val="0"/>
                <w:i w:val="0"/>
                <w:iCs w:val="0"/>
                <w:sz w:val="22"/>
                <w:szCs w:val="22"/>
              </w:rPr>
            </w:pPr>
            <w:r w:rsidRPr="667D9899" w:rsidR="667D9899">
              <w:rPr>
                <w:rFonts w:ascii="Calibri" w:hAnsi="Calibri" w:eastAsia="Calibri" w:cs="Calibri"/>
                <w:b w:val="0"/>
                <w:bCs w:val="0"/>
                <w:i w:val="0"/>
                <w:iCs w:val="0"/>
                <w:sz w:val="22"/>
                <w:szCs w:val="22"/>
                <w:lang w:val="en-US"/>
              </w:rPr>
              <w:t xml:space="preserve">Financial or HR Impact OR </w:t>
            </w:r>
          </w:p>
          <w:p w:rsidR="667D9899" w:rsidP="667D9899" w:rsidRDefault="667D9899" w14:paraId="408DC689" w14:textId="1334D135">
            <w:pPr>
              <w:pStyle w:val="ListParagraph"/>
              <w:numPr>
                <w:ilvl w:val="0"/>
                <w:numId w:val="12"/>
              </w:numPr>
              <w:spacing w:line="259" w:lineRule="auto"/>
              <w:rPr>
                <w:rFonts w:ascii="Calibri" w:hAnsi="Calibri" w:eastAsia="Calibri" w:cs="Calibri"/>
                <w:b w:val="0"/>
                <w:bCs w:val="0"/>
                <w:i w:val="0"/>
                <w:iCs w:val="0"/>
                <w:sz w:val="22"/>
                <w:szCs w:val="22"/>
              </w:rPr>
            </w:pPr>
            <w:r w:rsidRPr="667D9899" w:rsidR="667D9899">
              <w:rPr>
                <w:rFonts w:ascii="Calibri" w:hAnsi="Calibri" w:eastAsia="Calibri" w:cs="Calibri"/>
                <w:b w:val="0"/>
                <w:bCs w:val="0"/>
                <w:i w:val="0"/>
                <w:iCs w:val="0"/>
                <w:sz w:val="22"/>
                <w:szCs w:val="22"/>
                <w:lang w:val="en-US"/>
              </w:rPr>
              <w:t xml:space="preserve">Addition of service OR </w:t>
            </w:r>
          </w:p>
          <w:p w:rsidR="667D9899" w:rsidP="667D9899" w:rsidRDefault="667D9899" w14:paraId="691C0284" w14:textId="639F17B8">
            <w:pPr>
              <w:pStyle w:val="ListParagraph"/>
              <w:numPr>
                <w:ilvl w:val="0"/>
                <w:numId w:val="12"/>
              </w:numPr>
              <w:spacing w:line="259" w:lineRule="auto"/>
              <w:rPr>
                <w:rFonts w:ascii="Calibri" w:hAnsi="Calibri" w:eastAsia="Calibri" w:cs="Calibri"/>
                <w:b w:val="0"/>
                <w:bCs w:val="0"/>
                <w:i w:val="0"/>
                <w:iCs w:val="0"/>
                <w:sz w:val="22"/>
                <w:szCs w:val="22"/>
              </w:rPr>
            </w:pPr>
            <w:r w:rsidRPr="667D9899" w:rsidR="667D9899">
              <w:rPr>
                <w:rFonts w:ascii="Calibri" w:hAnsi="Calibri" w:eastAsia="Calibri" w:cs="Calibri"/>
                <w:b w:val="0"/>
                <w:bCs w:val="0"/>
                <w:i w:val="0"/>
                <w:iCs w:val="0"/>
                <w:sz w:val="22"/>
                <w:szCs w:val="22"/>
                <w:lang w:val="en-US"/>
              </w:rPr>
              <w:t xml:space="preserve">Policy change </w:t>
            </w:r>
          </w:p>
        </w:tc>
        <w:tc>
          <w:tcPr>
            <w:tcW w:w="136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6360AE9D" w14:textId="43A04BE1">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Approve </w:t>
            </w:r>
          </w:p>
        </w:tc>
        <w:tc>
          <w:tcPr>
            <w:tcW w:w="176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4D37DB6D" w14:textId="7B954D83">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Recommend </w:t>
            </w:r>
          </w:p>
        </w:tc>
        <w:tc>
          <w:tcPr>
            <w:tcW w:w="1722" w:type="dxa"/>
            <w:tcBorders>
              <w:top w:val="single" w:color="000000" w:themeColor="text1" w:sz="6"/>
              <w:left w:val="nil"/>
              <w:bottom w:val="single" w:color="000000" w:themeColor="text1" w:sz="6"/>
              <w:right w:val="nil"/>
            </w:tcBorders>
            <w:tcMar>
              <w:left w:w="105" w:type="dxa"/>
              <w:right w:w="105" w:type="dxa"/>
            </w:tcMar>
            <w:vAlign w:val="bottom"/>
          </w:tcPr>
          <w:p w:rsidR="667D9899" w:rsidP="667D9899" w:rsidRDefault="667D9899" w14:paraId="03898016" w14:textId="0FEB57C0">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 </w:t>
            </w:r>
          </w:p>
        </w:tc>
        <w:tc>
          <w:tcPr>
            <w:tcW w:w="1538" w:type="dxa"/>
            <w:tcBorders>
              <w:top w:val="single" w:color="000000" w:themeColor="text1" w:sz="6"/>
              <w:left w:val="nil"/>
              <w:bottom w:val="single" w:color="000000" w:themeColor="text1" w:sz="6"/>
              <w:right w:val="single" w:color="000000" w:themeColor="text1" w:sz="6"/>
            </w:tcBorders>
            <w:tcMar>
              <w:left w:w="105" w:type="dxa"/>
              <w:right w:w="105" w:type="dxa"/>
            </w:tcMar>
            <w:vAlign w:val="bottom"/>
          </w:tcPr>
          <w:p w:rsidR="667D9899" w:rsidP="667D9899" w:rsidRDefault="667D9899" w14:paraId="34B600B3" w14:textId="7BB48D5D">
            <w:pPr>
              <w:spacing w:line="257" w:lineRule="auto"/>
              <w:rPr>
                <w:rFonts w:ascii="Cambria" w:hAnsi="Cambria" w:eastAsia="Cambria" w:cs="Cambria"/>
                <w:b w:val="0"/>
                <w:bCs w:val="0"/>
                <w:i w:val="0"/>
                <w:iCs w:val="0"/>
                <w:color w:val="000000" w:themeColor="text1" w:themeTint="FF" w:themeShade="FF"/>
                <w:sz w:val="22"/>
                <w:szCs w:val="22"/>
              </w:rPr>
            </w:pPr>
            <w:r w:rsidRPr="667D9899" w:rsidR="667D9899">
              <w:rPr>
                <w:rFonts w:ascii="Cambria" w:hAnsi="Cambria" w:eastAsia="Cambria" w:cs="Cambria"/>
                <w:b w:val="0"/>
                <w:bCs w:val="0"/>
                <w:i w:val="0"/>
                <w:iCs w:val="0"/>
                <w:color w:val="000000" w:themeColor="text1" w:themeTint="FF" w:themeShade="FF"/>
                <w:sz w:val="22"/>
                <w:szCs w:val="22"/>
                <w:lang w:val="en-US"/>
              </w:rPr>
              <w:t xml:space="preserve">Recommend </w:t>
            </w:r>
          </w:p>
        </w:tc>
      </w:tr>
    </w:tbl>
    <w:p w:rsidR="48660643" w:rsidP="667D9899" w:rsidRDefault="48660643" w14:paraId="5ED71EF6" w14:textId="05193881">
      <w:pPr>
        <w:spacing w:after="160" w:line="257"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667D9899" w:rsidR="48660643">
        <w:rPr>
          <w:rFonts w:ascii="Cambria" w:hAnsi="Cambria" w:eastAsia="Cambria" w:cs="Cambria"/>
          <w:b w:val="1"/>
          <w:bCs w:val="1"/>
          <w:i w:val="0"/>
          <w:iCs w:val="0"/>
          <w:caps w:val="0"/>
          <w:smallCaps w:val="0"/>
          <w:noProof w:val="0"/>
          <w:color w:val="000000" w:themeColor="text1" w:themeTint="FF" w:themeShade="FF"/>
          <w:sz w:val="22"/>
          <w:szCs w:val="22"/>
          <w:lang w:val="en-US"/>
        </w:rPr>
        <w:t xml:space="preserve"> </w:t>
      </w:r>
    </w:p>
    <w:p w:rsidR="667D9899" w:rsidP="3EA36D25" w:rsidRDefault="667D9899" w14:paraId="3E86AC9E" w14:textId="4444B194">
      <w:pPr>
        <w:spacing w:after="160" w:line="257" w:lineRule="auto"/>
        <w:ind w:left="10" w:hanging="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Specific responsibilities for</w:t>
      </w:r>
      <w:r w:rsidRPr="3EA36D25" w:rsidR="603305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this</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advisory group are outlined below. </w:t>
      </w:r>
    </w:p>
    <w:p w:rsidR="48660643" w:rsidP="3EA36D25" w:rsidRDefault="48660643" w14:paraId="0EAC4C3F" w14:textId="19F630AA">
      <w:pPr>
        <w:pStyle w:val="Heading2"/>
        <w:keepNext w:val="1"/>
        <w:keepLines w:val="1"/>
        <w:spacing w:before="40"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2F5496" w:themeColor="accent1" w:themeTint="FF" w:themeShade="BF"/>
          <w:sz w:val="26"/>
          <w:szCs w:val="26"/>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2F5496" w:themeColor="accent1" w:themeTint="FF" w:themeShade="BF"/>
          <w:sz w:val="26"/>
          <w:szCs w:val="26"/>
          <w:lang w:val="en-US"/>
        </w:rPr>
        <w:t xml:space="preserve">Circulation/ILL </w:t>
      </w:r>
    </w:p>
    <w:p w:rsidR="48660643" w:rsidP="3EA36D25" w:rsidRDefault="48660643" w14:paraId="06A0D97E" w14:textId="0FC0D4A2">
      <w:pPr>
        <w:spacing w:after="160" w:line="257" w:lineRule="auto"/>
        <w:ind w:left="10" w:hanging="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7 Members </w:t>
      </w:r>
    </w:p>
    <w:p w:rsidR="48660643" w:rsidP="3EA36D25" w:rsidRDefault="48660643" w14:paraId="489F0092" w14:textId="4C7663C6">
      <w:pPr>
        <w:spacing w:after="160" w:line="257" w:lineRule="auto"/>
        <w:ind w:left="10" w:hanging="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Circulation and Interlibrary Loan Advisory Group partners with CCS staff to refine documentation, consults with CCS staff on configuration changes, </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researches</w:t>
      </w:r>
      <w:r w:rsidRPr="3EA36D25" w:rsidR="4866064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recommend policy and best practice changes to the Circulation and Interlibrary Loan Technical Groups. CCS Staff Liaison: Member Services Librarian, Public Services </w:t>
      </w:r>
    </w:p>
    <w:p w:rsidR="667D9899" w:rsidP="667D9899" w:rsidRDefault="667D9899" w14:paraId="49B1D352" w14:textId="5EE4B7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8660643" w:rsidP="3EA36D25" w:rsidRDefault="48660643" w14:paraId="43E539F4" w14:textId="024AB690">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3EA36D25" w:rsidR="48660643">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2023-2024 Circulation/ILL Advisory Group Meeting Dates</w:t>
      </w:r>
    </w:p>
    <w:p w:rsidR="48660643" w:rsidP="667D9899" w:rsidRDefault="48660643" w14:paraId="28F6D966" w14:textId="1AA887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67D9899" w:rsidR="48660643">
        <w:rPr>
          <w:rFonts w:ascii="Calibri" w:hAnsi="Calibri" w:eastAsia="Calibri" w:cs="Calibri"/>
          <w:b w:val="0"/>
          <w:bCs w:val="0"/>
          <w:i w:val="0"/>
          <w:iCs w:val="0"/>
          <w:caps w:val="0"/>
          <w:smallCaps w:val="0"/>
          <w:noProof w:val="0"/>
          <w:color w:val="000000" w:themeColor="text1" w:themeTint="FF" w:themeShade="FF"/>
          <w:sz w:val="22"/>
          <w:szCs w:val="22"/>
          <w:lang w:val="en-US"/>
        </w:rPr>
        <w:t>All meetings will be held virtually via Zoom</w:t>
      </w:r>
    </w:p>
    <w:p w:rsidR="48660643" w:rsidP="667D9899" w:rsidRDefault="48660643" w14:paraId="274AE5F2" w14:textId="22DFC732">
      <w:pPr>
        <w:pStyle w:val="ListParagraph"/>
        <w:numPr>
          <w:ilvl w:val="0"/>
          <w:numId w:val="3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67D9899" w:rsidR="48660643">
        <w:rPr>
          <w:rFonts w:ascii="Calibri" w:hAnsi="Calibri" w:eastAsia="Calibri" w:cs="Calibri"/>
          <w:b w:val="0"/>
          <w:bCs w:val="0"/>
          <w:i w:val="0"/>
          <w:iCs w:val="0"/>
          <w:caps w:val="0"/>
          <w:smallCaps w:val="0"/>
          <w:noProof w:val="0"/>
          <w:color w:val="000000" w:themeColor="text1" w:themeTint="FF" w:themeShade="FF"/>
          <w:sz w:val="22"/>
          <w:szCs w:val="22"/>
          <w:lang w:val="en-US"/>
        </w:rPr>
        <w:t>September 15, 2023 (9:30-11:30)</w:t>
      </w:r>
    </w:p>
    <w:p w:rsidR="48660643" w:rsidP="667D9899" w:rsidRDefault="48660643" w14:paraId="38AB9F3A" w14:textId="72417526">
      <w:pPr>
        <w:pStyle w:val="ListParagraph"/>
        <w:numPr>
          <w:ilvl w:val="0"/>
          <w:numId w:val="30"/>
        </w:numPr>
        <w:rPr>
          <w:noProof w:val="0"/>
          <w:lang w:val="en-US"/>
        </w:rPr>
      </w:pPr>
      <w:r w:rsidRPr="667D9899" w:rsidR="48660643">
        <w:rPr>
          <w:noProof w:val="0"/>
          <w:lang w:val="en-US"/>
        </w:rPr>
        <w:t>December 15, 2023 (9:30-11:30)</w:t>
      </w:r>
    </w:p>
    <w:p w:rsidR="48660643" w:rsidP="667D9899" w:rsidRDefault="48660643" w14:paraId="29C0C276" w14:textId="16E626D9">
      <w:pPr>
        <w:pStyle w:val="ListParagraph"/>
        <w:numPr>
          <w:ilvl w:val="0"/>
          <w:numId w:val="30"/>
        </w:numPr>
        <w:rPr>
          <w:noProof w:val="0"/>
          <w:lang w:val="en-US"/>
        </w:rPr>
      </w:pPr>
      <w:r w:rsidRPr="667D9899" w:rsidR="48660643">
        <w:rPr>
          <w:noProof w:val="0"/>
          <w:lang w:val="en-US"/>
        </w:rPr>
        <w:t>March 8, 2024 (9:30-11:30)</w:t>
      </w:r>
    </w:p>
    <w:p w:rsidR="48660643" w:rsidP="667D9899" w:rsidRDefault="48660643" w14:paraId="6398E3BC" w14:textId="741F0A41">
      <w:pPr>
        <w:pStyle w:val="ListParagraph"/>
        <w:numPr>
          <w:ilvl w:val="0"/>
          <w:numId w:val="30"/>
        </w:numPr>
        <w:rPr>
          <w:noProof w:val="0"/>
          <w:lang w:val="en-US"/>
        </w:rPr>
      </w:pPr>
      <w:r w:rsidRPr="667D9899" w:rsidR="48660643">
        <w:rPr>
          <w:noProof w:val="0"/>
          <w:lang w:val="en-US"/>
        </w:rPr>
        <w:t>June 14, 2024 (9:30-11:30)</w:t>
      </w:r>
    </w:p>
    <w:p w:rsidR="3EA36D25" w:rsidP="3EA36D25" w:rsidRDefault="3EA36D25" w14:paraId="139657F0" w14:textId="7291CDF2">
      <w:pPr>
        <w:pStyle w:val="Normal"/>
      </w:pPr>
    </w:p>
    <w:p w:rsidR="3EA36D25" w:rsidP="3EA36D25" w:rsidRDefault="3EA36D25" w14:paraId="5BD8D784" w14:textId="012A169D">
      <w:pPr>
        <w:pStyle w:val="Normal"/>
      </w:pPr>
    </w:p>
    <w:p xmlns:wp14="http://schemas.microsoft.com/office/word/2010/wordml" w:rsidP="6ED3D8D2" w14:paraId="2C078E63" wp14:textId="384CF8C5">
      <w:pPr>
        <w:pStyle w:val="Heading1"/>
      </w:pPr>
      <w:bookmarkStart w:name="_GoBack" w:id="0"/>
      <w:bookmarkEnd w:id="0"/>
      <w:r w:rsidR="2900E681">
        <w:rPr/>
        <w:t xml:space="preserve">5b. </w:t>
      </w:r>
      <w:r w:rsidR="1A313E28">
        <w:rPr/>
        <w:t>Manual Item Recovery in CCS Libraries</w:t>
      </w:r>
    </w:p>
    <w:p w:rsidR="3E1DF834" w:rsidP="3EA36D25" w:rsidRDefault="3E1DF834" w14:paraId="41D6CB9E" w14:textId="0A402101">
      <w:pPr>
        <w:pStyle w:val="Heading2"/>
      </w:pPr>
      <w:r w:rsidR="3E1DF834">
        <w:rPr/>
        <w:t>Background</w:t>
      </w:r>
    </w:p>
    <w:p w:rsidR="1A313E28" w:rsidP="6ED3D8D2" w:rsidRDefault="1A313E28" w14:paraId="4606A736" w14:textId="22937CFC">
      <w:pPr>
        <w:pStyle w:val="Normal"/>
      </w:pPr>
      <w:r w:rsidR="1A313E28">
        <w:rPr/>
        <w:t xml:space="preserve">Some CCS libraires manually reach out to patrons with Lost items to encourage item recovery. These efforts are in </w:t>
      </w:r>
      <w:r w:rsidR="4019081B">
        <w:rPr/>
        <w:t>addition</w:t>
      </w:r>
      <w:r w:rsidR="1A313E28">
        <w:rPr/>
        <w:t xml:space="preserve"> to the Polaris automatic bill notice at </w:t>
      </w:r>
      <w:r w:rsidR="1A313E28">
        <w:rPr/>
        <w:t>45 days</w:t>
      </w:r>
      <w:r w:rsidR="1A313E28">
        <w:rPr/>
        <w:t xml:space="preserve"> overdue. </w:t>
      </w:r>
      <w:r w:rsidR="1A313E28">
        <w:rPr/>
        <w:t>At this time, there are no system-wide guidelines around manual item recovery.</w:t>
      </w:r>
      <w:r w:rsidR="1A313E28">
        <w:rPr/>
        <w:t xml:space="preserve"> </w:t>
      </w:r>
    </w:p>
    <w:p w:rsidR="6CCF60E8" w:rsidP="6ED3D8D2" w:rsidRDefault="6CCF60E8" w14:paraId="05707E80" w14:textId="2E1D8DCB">
      <w:pPr>
        <w:pStyle w:val="Normal"/>
      </w:pPr>
      <w:r w:rsidR="46E2AF3B">
        <w:rPr/>
        <w:t>A number</w:t>
      </w:r>
      <w:r w:rsidR="6CCF60E8">
        <w:rPr/>
        <w:t xml:space="preserve"> of</w:t>
      </w:r>
      <w:r w:rsidR="6CCF60E8">
        <w:rPr/>
        <w:t xml:space="preserve"> </w:t>
      </w:r>
      <w:r w:rsidR="3F945AA4">
        <w:rPr/>
        <w:t xml:space="preserve">CCS </w:t>
      </w:r>
      <w:r w:rsidR="6CCF60E8">
        <w:rPr/>
        <w:t>circulation rules are based on the transaction library, such as</w:t>
      </w:r>
      <w:r w:rsidR="1657C6F3">
        <w:rPr/>
        <w:t xml:space="preserve"> material type limits,</w:t>
      </w:r>
      <w:r w:rsidR="6CCF60E8">
        <w:rPr/>
        <w:t xml:space="preserve"> </w:t>
      </w:r>
      <w:r w:rsidR="6CCF60E8">
        <w:rPr/>
        <w:t>fines</w:t>
      </w:r>
      <w:r w:rsidR="41105B96">
        <w:rPr/>
        <w:t>,</w:t>
      </w:r>
      <w:r w:rsidR="6CCF60E8">
        <w:rPr/>
        <w:t xml:space="preserve"> loan periods</w:t>
      </w:r>
      <w:r w:rsidR="72D80362">
        <w:rPr/>
        <w:t>, and o</w:t>
      </w:r>
      <w:r w:rsidR="6CCF60E8">
        <w:rPr/>
        <w:t>verdue</w:t>
      </w:r>
      <w:r w:rsidR="390D9D7C">
        <w:rPr/>
        <w:t>/</w:t>
      </w:r>
      <w:r w:rsidR="6CCF60E8">
        <w:rPr/>
        <w:t>bil</w:t>
      </w:r>
      <w:r w:rsidR="7335F74C">
        <w:rPr/>
        <w:t>l notices</w:t>
      </w:r>
      <w:r w:rsidR="7335F74C">
        <w:rPr/>
        <w:t xml:space="preserve">. However, patrons are referred </w:t>
      </w:r>
      <w:r w:rsidR="7335F74C">
        <w:rPr/>
        <w:t>to</w:t>
      </w:r>
      <w:r w:rsidR="7335F74C">
        <w:rPr/>
        <w:t xml:space="preserve"> Unique Collections by their home library</w:t>
      </w:r>
      <w:r w:rsidR="17F39754">
        <w:rPr/>
        <w:t>, regardless of where they checked out</w:t>
      </w:r>
      <w:r w:rsidR="7335F74C">
        <w:rPr/>
        <w:t>.</w:t>
      </w:r>
      <w:r w:rsidR="4CC5E83A">
        <w:rPr/>
        <w:t xml:space="preserve"> 15 </w:t>
      </w:r>
      <w:r w:rsidR="532C7E9E">
        <w:rPr/>
        <w:t xml:space="preserve">out of 29 </w:t>
      </w:r>
      <w:r w:rsidR="4CC5E83A">
        <w:rPr/>
        <w:t xml:space="preserve">CCS libraries </w:t>
      </w:r>
      <w:r w:rsidR="4CC5E83A">
        <w:rPr/>
        <w:t>participate</w:t>
      </w:r>
      <w:r w:rsidR="4CC5E83A">
        <w:rPr/>
        <w:t xml:space="preserve"> in Unique Collections</w:t>
      </w:r>
      <w:r w:rsidR="34995040">
        <w:rPr/>
        <w:t>.</w:t>
      </w:r>
      <w:r w:rsidR="4CC5E83A">
        <w:rPr/>
        <w:t xml:space="preserve"> The</w:t>
      </w:r>
      <w:r w:rsidR="5FEBDA4D">
        <w:rPr/>
        <w:t xml:space="preserve"> home</w:t>
      </w:r>
      <w:r w:rsidR="4CC5E83A">
        <w:rPr/>
        <w:t xml:space="preserve"> </w:t>
      </w:r>
      <w:r w:rsidR="4CC5E83A">
        <w:rPr/>
        <w:t>library sets fee threshold and age to quality for referral</w:t>
      </w:r>
      <w:r w:rsidR="313262F0">
        <w:rPr/>
        <w:t xml:space="preserve"> and those values differ from library to library.</w:t>
      </w:r>
    </w:p>
    <w:p w:rsidR="10633003" w:rsidP="6ED3D8D2" w:rsidRDefault="10633003" w14:paraId="76884470" w14:textId="55F2F1C9">
      <w:pPr>
        <w:pStyle w:val="Normal"/>
      </w:pPr>
      <w:r w:rsidR="10633003">
        <w:rPr/>
        <w:t xml:space="preserve">CCS is aware of </w:t>
      </w:r>
      <w:r w:rsidR="083DCA0A">
        <w:rPr/>
        <w:t>a few</w:t>
      </w:r>
      <w:r w:rsidR="10633003">
        <w:rPr/>
        <w:t xml:space="preserve"> libraries involved in manual item recovery. The process varies by library</w:t>
      </w:r>
      <w:r w:rsidR="4F18F1FB">
        <w:rPr/>
        <w:t xml:space="preserve"> and workflows</w:t>
      </w:r>
      <w:r w:rsidR="55A81FB4">
        <w:rPr/>
        <w:t xml:space="preserve"> </w:t>
      </w:r>
      <w:r w:rsidR="4F18F1FB">
        <w:rPr/>
        <w:t>include:</w:t>
      </w:r>
    </w:p>
    <w:p w:rsidR="1BAAF6C3" w:rsidP="6ED3D8D2" w:rsidRDefault="1BAAF6C3" w14:paraId="19355339" w14:textId="5E543DB9">
      <w:pPr>
        <w:pStyle w:val="ListParagraph"/>
        <w:numPr>
          <w:ilvl w:val="0"/>
          <w:numId w:val="1"/>
        </w:numPr>
        <w:rPr/>
      </w:pPr>
      <w:r w:rsidR="1BAAF6C3">
        <w:rPr/>
        <w:t>Th</w:t>
      </w:r>
      <w:r w:rsidR="10633003">
        <w:rPr/>
        <w:t xml:space="preserve">e library contacts </w:t>
      </w:r>
      <w:r w:rsidR="10633003">
        <w:rPr/>
        <w:t>patrons</w:t>
      </w:r>
      <w:r w:rsidR="10633003">
        <w:rPr/>
        <w:t xml:space="preserve"> who checked out from their location</w:t>
      </w:r>
      <w:r w:rsidR="30724D05">
        <w:rPr/>
        <w:t>, regardless of patron home library</w:t>
      </w:r>
    </w:p>
    <w:p w:rsidR="581BC6E1" w:rsidP="667D9899" w:rsidRDefault="581BC6E1" w14:paraId="28D41D9D" w14:textId="56839CEB">
      <w:pPr>
        <w:pStyle w:val="ListParagraph"/>
        <w:numPr>
          <w:ilvl w:val="0"/>
          <w:numId w:val="1"/>
        </w:numPr>
        <w:rPr/>
      </w:pPr>
      <w:r w:rsidR="581BC6E1">
        <w:rPr/>
        <w:t>The</w:t>
      </w:r>
      <w:r w:rsidR="10633003">
        <w:rPr/>
        <w:t xml:space="preserve"> library contacts </w:t>
      </w:r>
      <w:r w:rsidR="10633003">
        <w:rPr/>
        <w:t>patrons</w:t>
      </w:r>
      <w:r w:rsidR="10633003">
        <w:rPr/>
        <w:t xml:space="preserve"> </w:t>
      </w:r>
      <w:r w:rsidR="676ADDDA">
        <w:rPr/>
        <w:t xml:space="preserve">registered to their library, regardless of where the patron checked </w:t>
      </w:r>
      <w:r w:rsidR="676ADDDA">
        <w:rPr/>
        <w:t>out</w:t>
      </w:r>
    </w:p>
    <w:p w:rsidR="3A96F83C" w:rsidP="667D9899" w:rsidRDefault="3A96F83C" w14:paraId="56C8E94D" w14:textId="663191E6">
      <w:pPr>
        <w:pStyle w:val="ListParagraph"/>
        <w:numPr>
          <w:ilvl w:val="0"/>
          <w:numId w:val="1"/>
        </w:numPr>
        <w:rPr/>
      </w:pPr>
      <w:r w:rsidR="3A96F83C">
        <w:rPr/>
        <w:t>The library contacts both patrons registered to their library and patrons who checked out from their location</w:t>
      </w:r>
    </w:p>
    <w:p w:rsidR="10633003" w:rsidP="6ED3D8D2" w:rsidRDefault="10633003" w14:paraId="7B79C953" w14:textId="66E472E0">
      <w:pPr>
        <w:pStyle w:val="Normal"/>
      </w:pPr>
      <w:r w:rsidR="10633003">
        <w:rPr/>
        <w:t>Several questions and situations</w:t>
      </w:r>
      <w:r w:rsidR="7AFD695B">
        <w:rPr/>
        <w:t xml:space="preserve"> related to manual item recovery</w:t>
      </w:r>
      <w:r w:rsidR="10633003">
        <w:rPr/>
        <w:t xml:space="preserve"> have </w:t>
      </w:r>
      <w:r w:rsidR="142F462D">
        <w:rPr/>
        <w:t>been brought to CCS,</w:t>
      </w:r>
      <w:r w:rsidR="76BE84F5">
        <w:rPr/>
        <w:t xml:space="preserve"> </w:t>
      </w:r>
      <w:r w:rsidR="5CB4398B">
        <w:rPr/>
        <w:t>where there was</w:t>
      </w:r>
      <w:r w:rsidR="76BE84F5">
        <w:rPr/>
        <w:t xml:space="preserve"> confusion from both patron and library staff.</w:t>
      </w:r>
      <w:r w:rsidR="27656DCA">
        <w:rPr/>
        <w:t xml:space="preserve"> </w:t>
      </w:r>
      <w:r w:rsidR="728D7DBE">
        <w:rPr/>
        <w:t>This</w:t>
      </w:r>
      <w:r w:rsidR="27656DCA">
        <w:rPr/>
        <w:t xml:space="preserve"> tends to occur </w:t>
      </w:r>
      <w:r w:rsidR="2E06344B">
        <w:rPr/>
        <w:t>during reciprocal borrowing situations</w:t>
      </w:r>
      <w:r w:rsidR="522A75FB">
        <w:rPr/>
        <w:t xml:space="preserve"> where </w:t>
      </w:r>
      <w:r w:rsidR="2E06344B">
        <w:rPr/>
        <w:t>the patron transacted at a different library than their home library</w:t>
      </w:r>
      <w:r w:rsidR="27656DCA">
        <w:rPr/>
        <w:t>.</w:t>
      </w:r>
      <w:r w:rsidR="76BE84F5">
        <w:rPr/>
        <w:t xml:space="preserve"> </w:t>
      </w:r>
    </w:p>
    <w:p w:rsidR="2B4FFEAE" w:rsidP="3B2690B1" w:rsidRDefault="2B4FFEAE" w14:paraId="5C856A43" w14:textId="213DF224">
      <w:pPr>
        <w:pStyle w:val="Normal"/>
      </w:pPr>
      <w:r w:rsidR="2B4FFEAE">
        <w:rPr/>
        <w:t xml:space="preserve">The Circulation/ILL Advisory Group discussed manual item recovery efforts at their June 2023 meeting. </w:t>
      </w:r>
      <w:r w:rsidR="2B4FFEAE">
        <w:rPr/>
        <w:t>General consensus</w:t>
      </w:r>
      <w:r w:rsidR="2B4FFEAE">
        <w:rPr/>
        <w:t xml:space="preserve"> was that </w:t>
      </w:r>
      <w:r w:rsidR="7C2042C7">
        <w:rPr/>
        <w:t xml:space="preserve">it would be beneficial to have guidelines on who libraries </w:t>
      </w:r>
      <w:r w:rsidR="62D44ABE">
        <w:rPr/>
        <w:t>can</w:t>
      </w:r>
      <w:r w:rsidR="7C2042C7">
        <w:rPr/>
        <w:t xml:space="preserve"> contact during manual item recovery</w:t>
      </w:r>
      <w:r w:rsidR="3CE9D334">
        <w:rPr/>
        <w:t>.</w:t>
      </w:r>
      <w:r w:rsidR="7C2042C7">
        <w:rPr/>
        <w:t xml:space="preserve"> </w:t>
      </w:r>
      <w:r w:rsidR="4DA75C03">
        <w:rPr/>
        <w:t>The initial preference</w:t>
      </w:r>
      <w:r w:rsidR="7C2042C7">
        <w:rPr/>
        <w:t xml:space="preserve"> would be </w:t>
      </w:r>
      <w:r w:rsidR="705B7A43">
        <w:rPr/>
        <w:t xml:space="preserve">to contact patrons who checked out at your library. </w:t>
      </w:r>
    </w:p>
    <w:p w:rsidR="2632657B" w:rsidP="667D9899" w:rsidRDefault="2632657B" w14:paraId="3E9BB52C" w14:textId="7D444183">
      <w:pPr>
        <w:pStyle w:val="Normal"/>
      </w:pPr>
      <w:r w:rsidR="2632657B">
        <w:rPr/>
        <w:t xml:space="preserve">CCS then took this topic and recommendation to the July Executive Committee meeting. After a discussion, the Executive Committee agreed that guidelines would be helpful for libraries that wish to send </w:t>
      </w:r>
      <w:r w:rsidR="2632657B">
        <w:rPr/>
        <w:t>additional</w:t>
      </w:r>
      <w:r w:rsidR="2632657B">
        <w:rPr/>
        <w:t xml:space="preserve"> notices regarding lost items</w:t>
      </w:r>
      <w:r w:rsidR="0AF5C973">
        <w:rPr/>
        <w:t>.</w:t>
      </w:r>
      <w:r w:rsidR="2632657B">
        <w:rPr/>
        <w:t xml:space="preserve"> </w:t>
      </w:r>
      <w:r w:rsidR="1173051E">
        <w:rPr/>
        <w:t xml:space="preserve">They </w:t>
      </w:r>
      <w:r w:rsidR="1173051E">
        <w:rPr/>
        <w:t>determined</w:t>
      </w:r>
      <w:r w:rsidR="1173051E">
        <w:rPr/>
        <w:t xml:space="preserve"> </w:t>
      </w:r>
      <w:r w:rsidR="2632657B">
        <w:rPr/>
        <w:t>that libraries should only contact their patrons, not patrons from other libraries</w:t>
      </w:r>
      <w:r w:rsidR="407C18D7">
        <w:rPr/>
        <w:t xml:space="preserve">, </w:t>
      </w:r>
      <w:r w:rsidR="407C18D7">
        <w:rPr/>
        <w:t>in order to</w:t>
      </w:r>
      <w:r w:rsidR="407C18D7">
        <w:rPr/>
        <w:t xml:space="preserve"> stay consistent with collections submission. </w:t>
      </w:r>
    </w:p>
    <w:p w:rsidR="6B071B04" w:rsidP="667D9899" w:rsidRDefault="6B071B04" w14:paraId="4F48C0C8" w14:textId="59674633">
      <w:pPr>
        <w:pStyle w:val="Normal"/>
      </w:pPr>
      <w:r w:rsidR="6B071B04">
        <w:rPr/>
        <w:t>Based on Executive Committee direction, CCS drafted the below guidelines for manual item recovery</w:t>
      </w:r>
      <w:r w:rsidR="43316437">
        <w:rPr/>
        <w:t>:</w:t>
      </w:r>
    </w:p>
    <w:p w:rsidR="2DF28C0E" w:rsidP="2DF28C0E" w:rsidRDefault="2DF28C0E" w14:paraId="685CECC7" w14:textId="019E1036">
      <w:pPr>
        <w:spacing w:after="160" w:line="259" w:lineRule="auto"/>
        <w:rPr>
          <w:rStyle w:val="Heading3Char"/>
          <w:noProof w:val="0"/>
          <w:lang w:val="en-US"/>
        </w:rPr>
      </w:pPr>
    </w:p>
    <w:p w:rsidR="254CF64B" w:rsidP="667D9899" w:rsidRDefault="254CF64B" w14:paraId="1B43C8D4" w14:textId="6BE9F3EA">
      <w:pPr>
        <w:spacing w:after="160" w:line="259" w:lineRule="auto"/>
        <w:rPr>
          <w:rFonts w:ascii="Calibri" w:hAnsi="Calibri" w:eastAsia="Calibri" w:cs="Calibri"/>
          <w:noProof w:val="0"/>
          <w:sz w:val="22"/>
          <w:szCs w:val="22"/>
          <w:lang w:val="en-US"/>
        </w:rPr>
      </w:pPr>
      <w:r w:rsidRPr="3EA36D25" w:rsidR="254CF64B">
        <w:rPr>
          <w:rStyle w:val="Heading3Char"/>
          <w:b w:val="0"/>
          <w:bCs w:val="0"/>
          <w:noProof w:val="0"/>
          <w:sz w:val="24"/>
          <w:szCs w:val="24"/>
          <w:lang w:val="en-US"/>
        </w:rPr>
        <w:t xml:space="preserve">Draft </w:t>
      </w:r>
      <w:r w:rsidRPr="3EA36D25" w:rsidR="1937A7E3">
        <w:rPr>
          <w:rStyle w:val="Heading3Char"/>
          <w:b w:val="0"/>
          <w:bCs w:val="0"/>
          <w:noProof w:val="0"/>
          <w:sz w:val="24"/>
          <w:szCs w:val="24"/>
          <w:lang w:val="en-US"/>
        </w:rPr>
        <w:t>Guidelines</w:t>
      </w:r>
      <w:r>
        <w:br/>
      </w:r>
      <w:r w:rsidRPr="3EA36D25" w:rsidR="1937A7E3">
        <w:rPr>
          <w:rFonts w:ascii="Calibri" w:hAnsi="Calibri" w:eastAsia="Calibri" w:cs="Calibri"/>
          <w:b w:val="1"/>
          <w:bCs w:val="1"/>
          <w:i w:val="0"/>
          <w:iCs w:val="0"/>
          <w:caps w:val="0"/>
          <w:smallCaps w:val="0"/>
          <w:noProof w:val="0"/>
          <w:color w:val="444444"/>
          <w:sz w:val="22"/>
          <w:szCs w:val="22"/>
          <w:lang w:val="en-US"/>
        </w:rPr>
        <w:t xml:space="preserve">Polaris will issue an automated bill notice when an item reaches </w:t>
      </w:r>
      <w:r w:rsidRPr="3EA36D25" w:rsidR="1937A7E3">
        <w:rPr>
          <w:rFonts w:ascii="Calibri" w:hAnsi="Calibri" w:eastAsia="Calibri" w:cs="Calibri"/>
          <w:b w:val="1"/>
          <w:bCs w:val="1"/>
          <w:i w:val="0"/>
          <w:iCs w:val="0"/>
          <w:caps w:val="0"/>
          <w:smallCaps w:val="0"/>
          <w:noProof w:val="0"/>
          <w:color w:val="444444"/>
          <w:sz w:val="22"/>
          <w:szCs w:val="22"/>
          <w:lang w:val="en-US"/>
        </w:rPr>
        <w:t>45 days</w:t>
      </w:r>
      <w:r w:rsidRPr="3EA36D25" w:rsidR="1937A7E3">
        <w:rPr>
          <w:rFonts w:ascii="Calibri" w:hAnsi="Calibri" w:eastAsia="Calibri" w:cs="Calibri"/>
          <w:b w:val="1"/>
          <w:bCs w:val="1"/>
          <w:i w:val="0"/>
          <w:iCs w:val="0"/>
          <w:caps w:val="0"/>
          <w:smallCaps w:val="0"/>
          <w:noProof w:val="0"/>
          <w:color w:val="444444"/>
          <w:sz w:val="22"/>
          <w:szCs w:val="22"/>
          <w:lang w:val="en-US"/>
        </w:rPr>
        <w:t xml:space="preserve"> overdue. If a library intends to manually contact patrons over billed items in addition to automated notices, efforts should be limited to patrons registered to their library or non-CCS reciprocal borrowers who checked out from their location. </w:t>
      </w:r>
      <w:r w:rsidRPr="3EA36D25" w:rsidR="1937A7E3">
        <w:rPr>
          <w:rFonts w:ascii="Calibri" w:hAnsi="Calibri" w:eastAsia="Calibri" w:cs="Calibri"/>
          <w:b w:val="1"/>
          <w:bCs w:val="1"/>
          <w:i w:val="0"/>
          <w:iCs w:val="0"/>
          <w:caps w:val="0"/>
          <w:smallCaps w:val="0"/>
          <w:noProof w:val="0"/>
          <w:color w:val="444444"/>
          <w:sz w:val="22"/>
          <w:szCs w:val="22"/>
          <w:lang w:val="en-US"/>
        </w:rPr>
        <w:t>The library should not contact patrons registered to another CCS library.</w:t>
      </w:r>
    </w:p>
    <w:p w:rsidR="667D9899" w:rsidP="667D9899" w:rsidRDefault="667D9899" w14:paraId="55CE85F2" w14:textId="35804E0B">
      <w:pPr>
        <w:pStyle w:val="Normal"/>
      </w:pPr>
    </w:p>
    <w:p w:rsidR="15258578" w:rsidP="667D9899" w:rsidRDefault="15258578" w14:paraId="36B20780" w14:textId="5CF81EF5">
      <w:pPr>
        <w:pStyle w:val="Normal"/>
      </w:pPr>
      <w:r w:rsidR="514E65F5">
        <w:rPr/>
        <w:t>Additional</w:t>
      </w:r>
      <w:r w:rsidR="514E65F5">
        <w:rPr/>
        <w:t xml:space="preserve"> q</w:t>
      </w:r>
      <w:r w:rsidR="358EE35B">
        <w:rPr/>
        <w:t>uestion for discussion:</w:t>
      </w:r>
    </w:p>
    <w:p w:rsidR="15258578" w:rsidP="667D9899" w:rsidRDefault="15258578" w14:paraId="0B3FC98A" w14:textId="7C888DD9">
      <w:pPr>
        <w:pStyle w:val="ListParagraph"/>
        <w:numPr>
          <w:ilvl w:val="0"/>
          <w:numId w:val="2"/>
        </w:numPr>
        <w:rPr/>
      </w:pPr>
      <w:r w:rsidR="358EE35B">
        <w:rPr/>
        <w:t xml:space="preserve">What information </w:t>
      </w:r>
      <w:r w:rsidR="358EE35B">
        <w:rPr/>
        <w:t>would</w:t>
      </w:r>
      <w:r w:rsidR="358EE35B">
        <w:rPr/>
        <w:t xml:space="preserve"> be helpful to have in a report</w:t>
      </w:r>
      <w:r w:rsidR="2C04B6DD">
        <w:rPr/>
        <w:t xml:space="preserve"> so that libraries could properly</w:t>
      </w:r>
      <w:r w:rsidR="13380B93">
        <w:rPr/>
        <w:t xml:space="preserve"> </w:t>
      </w:r>
      <w:r w:rsidR="13380B93">
        <w:rPr/>
        <w:t>identify</w:t>
      </w:r>
      <w:r w:rsidR="13380B93">
        <w:rPr/>
        <w:t xml:space="preserve"> patrons to be contacted?</w:t>
      </w:r>
    </w:p>
    <w:p w:rsidR="667D9899" w:rsidP="667D9899" w:rsidRDefault="667D9899" w14:paraId="7ED06CE0" w14:textId="445C4F70">
      <w:pPr>
        <w:pStyle w:val="Normal"/>
      </w:pPr>
    </w:p>
    <w:p w:rsidR="3443DFF0" w:rsidP="3EA36D25" w:rsidRDefault="3443DFF0" w14:paraId="6E915D56" w14:textId="05CBEF64">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US"/>
        </w:rPr>
      </w:pPr>
      <w:r w:rsidRPr="3EA36D25" w:rsidR="3443DFF0">
        <w:rPr>
          <w:rFonts w:ascii="Calibri Light" w:hAnsi="Calibri Light" w:eastAsia="Calibri Light" w:cs="Calibri Light"/>
          <w:b w:val="1"/>
          <w:bCs w:val="1"/>
          <w:i w:val="0"/>
          <w:iCs w:val="0"/>
          <w:caps w:val="0"/>
          <w:smallCaps w:val="0"/>
          <w:noProof w:val="0"/>
          <w:color w:val="1F3763"/>
          <w:sz w:val="24"/>
          <w:szCs w:val="24"/>
          <w:lang w:val="en-US"/>
        </w:rPr>
        <w:t>ACTION</w:t>
      </w:r>
    </w:p>
    <w:p w:rsidR="3443DFF0" w:rsidP="667D9899" w:rsidRDefault="3443DFF0" w14:paraId="29974F36" w14:textId="7F3B844C">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67D9899" w:rsidR="3443DFF0">
        <w:rPr>
          <w:rFonts w:ascii="Calibri" w:hAnsi="Calibri" w:eastAsia="Calibri" w:cs="Calibri"/>
          <w:b w:val="1"/>
          <w:bCs w:val="1"/>
          <w:i w:val="0"/>
          <w:iCs w:val="0"/>
          <w:caps w:val="0"/>
          <w:smallCaps w:val="0"/>
          <w:noProof w:val="0"/>
          <w:color w:val="000000" w:themeColor="text1" w:themeTint="FF" w:themeShade="FF"/>
          <w:sz w:val="22"/>
          <w:szCs w:val="22"/>
          <w:lang w:val="en-US"/>
        </w:rPr>
        <w:t>Motion to accept drafted guidelines for manual item recovery.</w:t>
      </w:r>
    </w:p>
    <w:p w:rsidR="3EA36D25" w:rsidP="3EA36D25" w:rsidRDefault="3EA36D25" w14:paraId="41F1A33B" w14:textId="0E4823CA">
      <w:pPr>
        <w:pStyle w:val="Normal"/>
      </w:pPr>
    </w:p>
    <w:p w:rsidR="3EA36D25" w:rsidP="3EA36D25" w:rsidRDefault="3EA36D25" w14:paraId="6534601B" w14:textId="4A27C6D1">
      <w:pPr>
        <w:pStyle w:val="Normal"/>
      </w:pPr>
    </w:p>
    <w:p w:rsidR="5F680BC9" w:rsidP="3EA36D25" w:rsidRDefault="5F680BC9" w14:paraId="0AD63541" w14:textId="1CE83950">
      <w:pPr>
        <w:pStyle w:val="Heading1"/>
        <w:bidi w:val="0"/>
        <w:spacing w:before="0" w:beforeAutospacing="off" w:after="160" w:afterAutospacing="off" w:line="259" w:lineRule="auto"/>
        <w:ind/>
      </w:pPr>
      <w:r w:rsidR="68F7D144">
        <w:rPr/>
        <w:t xml:space="preserve">5c. </w:t>
      </w:r>
      <w:r w:rsidR="5F680BC9">
        <w:rPr/>
        <w:t>Patron Record</w:t>
      </w:r>
      <w:r w:rsidR="672F9CB3">
        <w:rPr/>
        <w:t xml:space="preserve"> Single Name Only</w:t>
      </w:r>
    </w:p>
    <w:p w:rsidR="5F680BC9" w:rsidP="3EA36D25" w:rsidRDefault="5F680BC9" w14:paraId="009E9E23" w14:textId="73FE3DB0">
      <w:pPr>
        <w:pStyle w:val="Heading2"/>
        <w:rPr>
          <w:rFonts w:ascii="Calibri" w:hAnsi="Calibri" w:eastAsia="Calibri" w:cs="Calibri"/>
          <w:noProof w:val="0"/>
          <w:sz w:val="22"/>
          <w:szCs w:val="22"/>
          <w:lang w:val="en-US"/>
        </w:rPr>
      </w:pPr>
      <w:r w:rsidR="1DA2C4B0">
        <w:rPr/>
        <w:t>Background</w:t>
      </w:r>
    </w:p>
    <w:p w:rsidR="5F680BC9" w:rsidP="3EA36D25" w:rsidRDefault="5F680BC9" w14:paraId="35D1B01F" w14:textId="7D790973">
      <w:pPr>
        <w:pStyle w:val="Normal"/>
        <w:rPr>
          <w:rFonts w:ascii="Calibri" w:hAnsi="Calibri" w:eastAsia="Calibri" w:cs="Calibri"/>
          <w:noProof w:val="0"/>
          <w:sz w:val="22"/>
          <w:szCs w:val="22"/>
          <w:lang w:val="en-US"/>
        </w:rPr>
      </w:pPr>
      <w:r w:rsidRPr="3EA36D25" w:rsidR="5F680BC9">
        <w:rPr>
          <w:rFonts w:ascii="Calibri" w:hAnsi="Calibri" w:eastAsia="Calibri" w:cs="Calibri"/>
          <w:noProof w:val="0"/>
          <w:sz w:val="22"/>
          <w:szCs w:val="22"/>
          <w:lang w:val="en-US"/>
        </w:rPr>
        <w:t xml:space="preserve">By default, Polaris requires both a first name and a last name to save a patron record. </w:t>
      </w:r>
      <w:r w:rsidRPr="3EA36D25" w:rsidR="7D5F6393">
        <w:rPr>
          <w:rFonts w:ascii="Calibri" w:hAnsi="Calibri" w:eastAsia="Calibri" w:cs="Calibri"/>
          <w:noProof w:val="0"/>
          <w:sz w:val="22"/>
          <w:szCs w:val="22"/>
          <w:lang w:val="en-US"/>
        </w:rPr>
        <w:t xml:space="preserve">People </w:t>
      </w:r>
      <w:r w:rsidRPr="3EA36D25" w:rsidR="7D5F6393">
        <w:rPr>
          <w:rFonts w:ascii="Calibri" w:hAnsi="Calibri" w:eastAsia="Calibri" w:cs="Calibri"/>
          <w:noProof w:val="0"/>
          <w:sz w:val="22"/>
          <w:szCs w:val="22"/>
          <w:lang w:val="en-US"/>
        </w:rPr>
        <w:t>are required to</w:t>
      </w:r>
      <w:r w:rsidRPr="3EA36D25" w:rsidR="7D5F6393">
        <w:rPr>
          <w:rFonts w:ascii="Calibri" w:hAnsi="Calibri" w:eastAsia="Calibri" w:cs="Calibri"/>
          <w:noProof w:val="0"/>
          <w:sz w:val="22"/>
          <w:szCs w:val="22"/>
          <w:lang w:val="en-US"/>
        </w:rPr>
        <w:t xml:space="preserve"> have both a first and last name on file</w:t>
      </w:r>
      <w:r w:rsidRPr="3EA36D25" w:rsidR="1B56BB5E">
        <w:rPr>
          <w:rFonts w:ascii="Calibri" w:hAnsi="Calibri" w:eastAsia="Calibri" w:cs="Calibri"/>
          <w:noProof w:val="0"/>
          <w:sz w:val="22"/>
          <w:szCs w:val="22"/>
          <w:lang w:val="en-US"/>
        </w:rPr>
        <w:t xml:space="preserve">, even if </w:t>
      </w:r>
      <w:r w:rsidRPr="3EA36D25" w:rsidR="1B56BB5E">
        <w:rPr>
          <w:rFonts w:ascii="Calibri" w:hAnsi="Calibri" w:eastAsia="Calibri" w:cs="Calibri"/>
          <w:noProof w:val="0"/>
          <w:sz w:val="22"/>
          <w:szCs w:val="22"/>
          <w:lang w:val="en-US"/>
        </w:rPr>
        <w:t>from</w:t>
      </w:r>
      <w:r w:rsidRPr="3EA36D25" w:rsidR="1B56BB5E">
        <w:rPr>
          <w:rFonts w:ascii="Calibri" w:hAnsi="Calibri" w:eastAsia="Calibri" w:cs="Calibri"/>
          <w:noProof w:val="0"/>
          <w:sz w:val="22"/>
          <w:szCs w:val="22"/>
          <w:lang w:val="en-US"/>
        </w:rPr>
        <w:t xml:space="preserve"> a mononym culture</w:t>
      </w:r>
      <w:r w:rsidRPr="3EA36D25" w:rsidR="7D5F6393">
        <w:rPr>
          <w:rFonts w:ascii="Calibri" w:hAnsi="Calibri" w:eastAsia="Calibri" w:cs="Calibri"/>
          <w:noProof w:val="0"/>
          <w:sz w:val="22"/>
          <w:szCs w:val="22"/>
          <w:lang w:val="en-US"/>
        </w:rPr>
        <w:t>.</w:t>
      </w:r>
      <w:r w:rsidRPr="3EA36D25" w:rsidR="7D5F6393">
        <w:rPr>
          <w:rFonts w:ascii="Calibri" w:hAnsi="Calibri" w:eastAsia="Calibri" w:cs="Calibri"/>
          <w:noProof w:val="0"/>
          <w:sz w:val="22"/>
          <w:szCs w:val="22"/>
          <w:lang w:val="en-US"/>
        </w:rPr>
        <w:t xml:space="preserve"> Institutions, such as businesses and schools, may have their name divided between the first name field and the last name field or use filler characters for one of the fields. </w:t>
      </w:r>
    </w:p>
    <w:p w:rsidR="667D9899" w:rsidP="2DF28C0E" w:rsidRDefault="667D9899" w14:paraId="2292FD15" w14:textId="34A1650B">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2DF28C0E" w:rsidR="7AA92DF6">
        <w:rPr>
          <w:rFonts w:ascii="Calibri" w:hAnsi="Calibri" w:eastAsia="Calibri" w:cs="Calibri"/>
          <w:noProof w:val="0"/>
          <w:sz w:val="22"/>
          <w:szCs w:val="22"/>
          <w:lang w:val="en-US"/>
        </w:rPr>
        <w:t xml:space="preserve">A new setting in Polaris gives the </w:t>
      </w:r>
      <w:r w:rsidRPr="2DF28C0E" w:rsidR="7AA92DF6">
        <w:rPr>
          <w:rFonts w:ascii="Calibri" w:hAnsi="Calibri" w:eastAsia="Calibri" w:cs="Calibri"/>
          <w:noProof w:val="0"/>
          <w:sz w:val="22"/>
          <w:szCs w:val="22"/>
          <w:lang w:val="en-US"/>
        </w:rPr>
        <w:t>option</w:t>
      </w:r>
      <w:r w:rsidRPr="2DF28C0E" w:rsidR="7AA92DF6">
        <w:rPr>
          <w:rFonts w:ascii="Calibri" w:hAnsi="Calibri" w:eastAsia="Calibri" w:cs="Calibri"/>
          <w:noProof w:val="0"/>
          <w:sz w:val="22"/>
          <w:szCs w:val="22"/>
          <w:lang w:val="en-US"/>
        </w:rPr>
        <w:t xml:space="preserve"> to only require a </w:t>
      </w:r>
      <w:r w:rsidRPr="2DF28C0E" w:rsidR="45970DCE">
        <w:rPr>
          <w:rFonts w:ascii="Calibri" w:hAnsi="Calibri" w:eastAsia="Calibri" w:cs="Calibri"/>
          <w:noProof w:val="0"/>
          <w:sz w:val="22"/>
          <w:szCs w:val="22"/>
          <w:lang w:val="en-US"/>
        </w:rPr>
        <w:t>la</w:t>
      </w:r>
      <w:r w:rsidRPr="2DF28C0E" w:rsidR="7AA92DF6">
        <w:rPr>
          <w:rFonts w:ascii="Calibri" w:hAnsi="Calibri" w:eastAsia="Calibri" w:cs="Calibri"/>
          <w:noProof w:val="0"/>
          <w:sz w:val="22"/>
          <w:szCs w:val="22"/>
          <w:lang w:val="en-US"/>
        </w:rPr>
        <w:t>st name field.</w:t>
      </w:r>
      <w:r w:rsidRPr="2DF28C0E" w:rsidR="62FE3CBD">
        <w:rPr>
          <w:rFonts w:ascii="Calibri" w:hAnsi="Calibri" w:eastAsia="Calibri" w:cs="Calibri"/>
          <w:noProof w:val="0"/>
          <w:sz w:val="22"/>
          <w:szCs w:val="22"/>
          <w:lang w:val="en-US"/>
        </w:rPr>
        <w:t xml:space="preserve"> If enabled, staff will </w:t>
      </w:r>
      <w:r w:rsidRPr="2DF28C0E" w:rsidR="18D10A8A">
        <w:rPr>
          <w:rFonts w:ascii="Calibri" w:hAnsi="Calibri" w:eastAsia="Calibri" w:cs="Calibri"/>
          <w:noProof w:val="0"/>
          <w:sz w:val="22"/>
          <w:szCs w:val="22"/>
          <w:lang w:val="en-US"/>
        </w:rPr>
        <w:t>be able to save a patron record without entering a first name.</w:t>
      </w:r>
      <w:r w:rsidRPr="2DF28C0E" w:rsidR="62FE3CBD">
        <w:rPr>
          <w:rFonts w:ascii="Calibri" w:hAnsi="Calibri" w:eastAsia="Calibri" w:cs="Calibri"/>
          <w:noProof w:val="0"/>
          <w:sz w:val="22"/>
          <w:szCs w:val="22"/>
          <w:lang w:val="en-US"/>
        </w:rPr>
        <w:t xml:space="preserve"> </w:t>
      </w:r>
    </w:p>
    <w:p w:rsidR="667D9899" w:rsidP="2DF28C0E" w:rsidRDefault="667D9899" w14:paraId="3A8B9446" w14:textId="3D68E37D">
      <w:pPr>
        <w:pStyle w:val="Normal"/>
        <w:bidi w:val="0"/>
        <w:spacing w:before="0" w:beforeAutospacing="off" w:after="160" w:afterAutospacing="off" w:line="259" w:lineRule="auto"/>
        <w:ind w:left="0" w:right="0"/>
        <w:jc w:val="center"/>
      </w:pPr>
      <w:r w:rsidR="25F9B55E">
        <w:drawing>
          <wp:inline wp14:editId="34E76771" wp14:anchorId="1E6A5459">
            <wp:extent cx="4572000" cy="1238250"/>
            <wp:effectExtent l="9525" t="9525" r="9525" b="9525"/>
            <wp:docPr id="1477161067" name="" title=""/>
            <wp:cNvGraphicFramePr>
              <a:graphicFrameLocks noChangeAspect="1"/>
            </wp:cNvGraphicFramePr>
            <a:graphic>
              <a:graphicData uri="http://schemas.openxmlformats.org/drawingml/2006/picture">
                <pic:pic>
                  <pic:nvPicPr>
                    <pic:cNvPr id="0" name=""/>
                    <pic:cNvPicPr/>
                  </pic:nvPicPr>
                  <pic:blipFill>
                    <a:blip r:embed="R672f5a65d779421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1238250"/>
                    </a:xfrm>
                    <a:prstGeom prst="rect">
                      <a:avLst/>
                    </a:prstGeom>
                    <a:ln w="9525">
                      <a:solidFill>
                        <a:schemeClr val="tx1">
                          <a:lumMod val="50000"/>
                        </a:schemeClr>
                      </a:solidFill>
                      <a:prstDash val="solid"/>
                    </a:ln>
                  </pic:spPr>
                </pic:pic>
              </a:graphicData>
            </a:graphic>
          </wp:inline>
        </w:drawing>
      </w:r>
    </w:p>
    <w:p w:rsidR="667D9899" w:rsidP="2DF28C0E" w:rsidRDefault="667D9899" w14:paraId="70C0D79A" w14:textId="2249469D">
      <w:pPr>
        <w:pStyle w:val="Normal"/>
        <w:bidi w:val="0"/>
        <w:spacing w:before="0" w:beforeAutospacing="off" w:after="160" w:afterAutospacing="off" w:line="259" w:lineRule="auto"/>
        <w:ind w:left="0" w:right="0"/>
        <w:jc w:val="center"/>
        <w:rPr>
          <w:rFonts w:ascii="Calibri" w:hAnsi="Calibri" w:eastAsia="Calibri" w:cs="Calibri"/>
          <w:i w:val="1"/>
          <w:iCs w:val="1"/>
          <w:noProof w:val="0"/>
          <w:sz w:val="20"/>
          <w:szCs w:val="20"/>
          <w:lang w:val="en-US"/>
        </w:rPr>
      </w:pPr>
      <w:r w:rsidRPr="2DF28C0E" w:rsidR="25F9B55E">
        <w:rPr>
          <w:rFonts w:ascii="Calibri" w:hAnsi="Calibri" w:eastAsia="Calibri" w:cs="Calibri"/>
          <w:i w:val="1"/>
          <w:iCs w:val="1"/>
          <w:noProof w:val="0"/>
          <w:sz w:val="20"/>
          <w:szCs w:val="20"/>
          <w:lang w:val="en-US"/>
        </w:rPr>
        <w:t xml:space="preserve">First name not </w:t>
      </w:r>
      <w:r w:rsidRPr="2DF28C0E" w:rsidR="25F9B55E">
        <w:rPr>
          <w:rFonts w:ascii="Calibri" w:hAnsi="Calibri" w:eastAsia="Calibri" w:cs="Calibri"/>
          <w:i w:val="1"/>
          <w:iCs w:val="1"/>
          <w:noProof w:val="0"/>
          <w:sz w:val="20"/>
          <w:szCs w:val="20"/>
          <w:lang w:val="en-US"/>
        </w:rPr>
        <w:t>required</w:t>
      </w:r>
    </w:p>
    <w:p w:rsidR="667D9899" w:rsidP="2DF28C0E" w:rsidRDefault="667D9899" w14:paraId="5183F778" w14:textId="69CEF575">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4B8FF5D5" w:rsidP="3EA36D25" w:rsidRDefault="4B8FF5D5" w14:paraId="5DEE9CE5" w14:textId="554E8961">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3EA36D25" w:rsidR="4B8FF5D5">
        <w:rPr>
          <w:rFonts w:ascii="Calibri" w:hAnsi="Calibri" w:eastAsia="Calibri" w:cs="Calibri"/>
          <w:noProof w:val="0"/>
          <w:sz w:val="22"/>
          <w:szCs w:val="22"/>
          <w:lang w:val="en-US"/>
        </w:rPr>
        <w:t xml:space="preserve">When a record without data in the first name field is saved, Leap will display an alert </w:t>
      </w:r>
      <w:r w:rsidRPr="3EA36D25" w:rsidR="755801EE">
        <w:rPr>
          <w:rFonts w:ascii="Calibri" w:hAnsi="Calibri" w:eastAsia="Calibri" w:cs="Calibri"/>
          <w:noProof w:val="0"/>
          <w:sz w:val="22"/>
          <w:szCs w:val="22"/>
          <w:lang w:val="en-US"/>
        </w:rPr>
        <w:t>for verification.</w:t>
      </w:r>
    </w:p>
    <w:p w:rsidR="755801EE" w:rsidP="3EA36D25" w:rsidRDefault="755801EE" w14:paraId="123A6457" w14:textId="162C0C1B">
      <w:pPr>
        <w:pStyle w:val="Normal"/>
        <w:bidi w:val="0"/>
        <w:spacing w:before="0" w:beforeAutospacing="off" w:after="160" w:afterAutospacing="off" w:line="259" w:lineRule="auto"/>
        <w:ind w:left="0" w:right="0"/>
        <w:jc w:val="center"/>
      </w:pPr>
      <w:r w:rsidR="755801EE">
        <w:drawing>
          <wp:inline wp14:editId="4A46F7BD" wp14:anchorId="67C188A5">
            <wp:extent cx="5701748" cy="1092835"/>
            <wp:effectExtent l="9525" t="9525" r="9525" b="9525"/>
            <wp:docPr id="1011316705" name="" title=""/>
            <wp:cNvGraphicFramePr>
              <a:graphicFrameLocks noChangeAspect="1"/>
            </wp:cNvGraphicFramePr>
            <a:graphic>
              <a:graphicData uri="http://schemas.openxmlformats.org/drawingml/2006/picture">
                <pic:pic>
                  <pic:nvPicPr>
                    <pic:cNvPr id="0" name=""/>
                    <pic:cNvPicPr/>
                  </pic:nvPicPr>
                  <pic:blipFill>
                    <a:blip r:embed="R42be0fe462da42dd">
                      <a:extLst>
                        <a:ext xmlns:a="http://schemas.openxmlformats.org/drawingml/2006/main" uri="{28A0092B-C50C-407E-A947-70E740481C1C}">
                          <a14:useLocalDpi val="0"/>
                        </a:ext>
                      </a:extLst>
                    </a:blip>
                    <a:stretch>
                      <a:fillRect/>
                    </a:stretch>
                  </pic:blipFill>
                  <pic:spPr>
                    <a:xfrm>
                      <a:off x="0" y="0"/>
                      <a:ext cx="5701748" cy="1092835"/>
                    </a:xfrm>
                    <a:prstGeom prst="rect">
                      <a:avLst/>
                    </a:prstGeom>
                    <a:ln w="9525">
                      <a:solidFill>
                        <a:schemeClr val="tx1">
                          <a:lumMod val="50000"/>
                        </a:schemeClr>
                      </a:solidFill>
                      <a:prstDash val="solid"/>
                    </a:ln>
                  </pic:spPr>
                </pic:pic>
              </a:graphicData>
            </a:graphic>
          </wp:inline>
        </w:drawing>
      </w:r>
    </w:p>
    <w:p w:rsidR="755801EE" w:rsidP="3EA36D25" w:rsidRDefault="755801EE" w14:paraId="3E33ABE8" w14:textId="367576C5">
      <w:pPr>
        <w:pStyle w:val="Normal"/>
        <w:bidi w:val="0"/>
        <w:spacing w:before="0" w:beforeAutospacing="off" w:after="160" w:afterAutospacing="off" w:line="259" w:lineRule="auto"/>
        <w:ind w:left="0" w:right="0"/>
        <w:jc w:val="center"/>
        <w:rPr>
          <w:i w:val="1"/>
          <w:iCs w:val="1"/>
          <w:sz w:val="20"/>
          <w:szCs w:val="20"/>
        </w:rPr>
      </w:pPr>
      <w:r w:rsidRPr="3EA36D25" w:rsidR="755801EE">
        <w:rPr>
          <w:i w:val="1"/>
          <w:iCs w:val="1"/>
          <w:sz w:val="20"/>
          <w:szCs w:val="20"/>
        </w:rPr>
        <w:t>No first name entered alert</w:t>
      </w:r>
    </w:p>
    <w:p w:rsidR="3EA36D25" w:rsidP="3EA36D25" w:rsidRDefault="3EA36D25" w14:paraId="78A0C50A" w14:textId="4FB77053">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667D9899" w:rsidP="2DF28C0E" w:rsidRDefault="667D9899" w14:paraId="3CF0B940" w14:textId="230ACFD7">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3EA36D25" w:rsidR="25F9B55E">
        <w:rPr>
          <w:rFonts w:ascii="Calibri" w:hAnsi="Calibri" w:eastAsia="Calibri" w:cs="Calibri"/>
          <w:noProof w:val="0"/>
          <w:sz w:val="22"/>
          <w:szCs w:val="22"/>
          <w:lang w:val="en-US"/>
        </w:rPr>
        <w:t xml:space="preserve">Optionally, staff can </w:t>
      </w:r>
      <w:r w:rsidRPr="3EA36D25" w:rsidR="62FE3CBD">
        <w:rPr>
          <w:rFonts w:ascii="Calibri" w:hAnsi="Calibri" w:eastAsia="Calibri" w:cs="Calibri"/>
          <w:noProof w:val="0"/>
          <w:sz w:val="22"/>
          <w:szCs w:val="22"/>
          <w:lang w:val="en-US"/>
        </w:rPr>
        <w:t xml:space="preserve">select </w:t>
      </w:r>
      <w:r w:rsidRPr="3EA36D25" w:rsidR="50DED48E">
        <w:rPr>
          <w:rFonts w:ascii="Calibri" w:hAnsi="Calibri" w:eastAsia="Calibri" w:cs="Calibri"/>
          <w:noProof w:val="0"/>
          <w:sz w:val="22"/>
          <w:szCs w:val="22"/>
          <w:lang w:val="en-US"/>
        </w:rPr>
        <w:t>a “Use Single Name Field” checkbox in the p</w:t>
      </w:r>
      <w:r w:rsidRPr="3EA36D25" w:rsidR="62FE3CBD">
        <w:rPr>
          <w:rFonts w:ascii="Calibri" w:hAnsi="Calibri" w:eastAsia="Calibri" w:cs="Calibri"/>
          <w:noProof w:val="0"/>
          <w:sz w:val="22"/>
          <w:szCs w:val="22"/>
          <w:lang w:val="en-US"/>
        </w:rPr>
        <w:t xml:space="preserve">atron </w:t>
      </w:r>
      <w:r w:rsidRPr="3EA36D25" w:rsidR="29F56AF1">
        <w:rPr>
          <w:rFonts w:ascii="Calibri" w:hAnsi="Calibri" w:eastAsia="Calibri" w:cs="Calibri"/>
          <w:noProof w:val="0"/>
          <w:sz w:val="22"/>
          <w:szCs w:val="22"/>
          <w:lang w:val="en-US"/>
        </w:rPr>
        <w:t>r</w:t>
      </w:r>
      <w:r w:rsidRPr="3EA36D25" w:rsidR="62FE3CBD">
        <w:rPr>
          <w:rFonts w:ascii="Calibri" w:hAnsi="Calibri" w:eastAsia="Calibri" w:cs="Calibri"/>
          <w:noProof w:val="0"/>
          <w:sz w:val="22"/>
          <w:szCs w:val="22"/>
          <w:lang w:val="en-US"/>
        </w:rPr>
        <w:t xml:space="preserve">egistration </w:t>
      </w:r>
      <w:r w:rsidRPr="3EA36D25" w:rsidR="62FE3CBD">
        <w:rPr>
          <w:rFonts w:ascii="Calibri" w:hAnsi="Calibri" w:eastAsia="Calibri" w:cs="Calibri"/>
          <w:noProof w:val="0"/>
          <w:sz w:val="22"/>
          <w:szCs w:val="22"/>
          <w:lang w:val="en-US"/>
        </w:rPr>
        <w:t>workform</w:t>
      </w:r>
      <w:r w:rsidRPr="3EA36D25" w:rsidR="5C782A29">
        <w:rPr>
          <w:rFonts w:ascii="Calibri" w:hAnsi="Calibri" w:eastAsia="Calibri" w:cs="Calibri"/>
          <w:noProof w:val="0"/>
          <w:sz w:val="22"/>
          <w:szCs w:val="22"/>
          <w:lang w:val="en-US"/>
        </w:rPr>
        <w:t xml:space="preserve">. </w:t>
      </w:r>
      <w:r w:rsidRPr="3EA36D25" w:rsidR="40E4C11A">
        <w:rPr>
          <w:rFonts w:ascii="Calibri" w:hAnsi="Calibri" w:eastAsia="Calibri" w:cs="Calibri"/>
          <w:noProof w:val="0"/>
          <w:sz w:val="22"/>
          <w:szCs w:val="22"/>
          <w:lang w:val="en-US"/>
        </w:rPr>
        <w:t xml:space="preserve">When selected, Leap will disable the first name and middle name fields. This </w:t>
      </w:r>
      <w:r w:rsidRPr="3EA36D25" w:rsidR="3E34ABE4">
        <w:rPr>
          <w:rFonts w:ascii="Calibri" w:hAnsi="Calibri" w:eastAsia="Calibri" w:cs="Calibri"/>
          <w:noProof w:val="0"/>
          <w:sz w:val="22"/>
          <w:szCs w:val="22"/>
          <w:lang w:val="en-US"/>
        </w:rPr>
        <w:t>serves</w:t>
      </w:r>
      <w:r w:rsidRPr="3EA36D25" w:rsidR="40E4C11A">
        <w:rPr>
          <w:rFonts w:ascii="Calibri" w:hAnsi="Calibri" w:eastAsia="Calibri" w:cs="Calibri"/>
          <w:noProof w:val="0"/>
          <w:sz w:val="22"/>
          <w:szCs w:val="22"/>
          <w:lang w:val="en-US"/>
        </w:rPr>
        <w:t xml:space="preserve"> as an indicator that using a last name only was an intentional decision.</w:t>
      </w:r>
      <w:r w:rsidRPr="3EA36D25" w:rsidR="7D986B09">
        <w:rPr>
          <w:rFonts w:ascii="Calibri" w:hAnsi="Calibri" w:eastAsia="Calibri" w:cs="Calibri"/>
          <w:noProof w:val="0"/>
          <w:sz w:val="22"/>
          <w:szCs w:val="22"/>
          <w:lang w:val="en-US"/>
        </w:rPr>
        <w:t xml:space="preserve"> If “Use Single Name Field” is checked, the “No first name entered” pop-up will </w:t>
      </w:r>
      <w:r w:rsidRPr="3EA36D25" w:rsidR="7D986B09">
        <w:rPr>
          <w:rFonts w:ascii="Calibri" w:hAnsi="Calibri" w:eastAsia="Calibri" w:cs="Calibri"/>
          <w:i w:val="1"/>
          <w:iCs w:val="1"/>
          <w:noProof w:val="0"/>
          <w:sz w:val="22"/>
          <w:szCs w:val="22"/>
          <w:lang w:val="en-US"/>
        </w:rPr>
        <w:t>not</w:t>
      </w:r>
      <w:r w:rsidRPr="3EA36D25" w:rsidR="7D986B09">
        <w:rPr>
          <w:rFonts w:ascii="Calibri" w:hAnsi="Calibri" w:eastAsia="Calibri" w:cs="Calibri"/>
          <w:noProof w:val="0"/>
          <w:sz w:val="22"/>
          <w:szCs w:val="22"/>
          <w:lang w:val="en-US"/>
        </w:rPr>
        <w:t xml:space="preserve"> appear when the record is saved.</w:t>
      </w:r>
    </w:p>
    <w:p w:rsidR="667D9899" w:rsidP="2DF28C0E" w:rsidRDefault="667D9899" w14:paraId="4972D679" w14:textId="13FD760E">
      <w:pPr>
        <w:pStyle w:val="Normal"/>
        <w:bidi w:val="0"/>
        <w:spacing w:before="0" w:beforeAutospacing="off" w:after="160" w:afterAutospacing="off" w:line="259" w:lineRule="auto"/>
        <w:ind w:left="0" w:right="0"/>
        <w:jc w:val="center"/>
      </w:pPr>
      <w:r w:rsidR="04398216">
        <w:drawing>
          <wp:inline wp14:editId="6520E0B2" wp14:anchorId="70106402">
            <wp:extent cx="4572000" cy="1447800"/>
            <wp:effectExtent l="0" t="0" r="0" b="0"/>
            <wp:docPr id="1700018199" name="" title=""/>
            <wp:cNvGraphicFramePr>
              <a:graphicFrameLocks noChangeAspect="1"/>
            </wp:cNvGraphicFramePr>
            <a:graphic>
              <a:graphicData uri="http://schemas.openxmlformats.org/drawingml/2006/picture">
                <pic:pic>
                  <pic:nvPicPr>
                    <pic:cNvPr id="0" name=""/>
                    <pic:cNvPicPr/>
                  </pic:nvPicPr>
                  <pic:blipFill>
                    <a:blip r:embed="R175fa5712d7c4978">
                      <a:extLst>
                        <a:ext xmlns:a="http://schemas.openxmlformats.org/drawingml/2006/main" uri="{28A0092B-C50C-407E-A947-70E740481C1C}">
                          <a14:useLocalDpi val="0"/>
                        </a:ext>
                      </a:extLst>
                    </a:blip>
                    <a:stretch>
                      <a:fillRect/>
                    </a:stretch>
                  </pic:blipFill>
                  <pic:spPr>
                    <a:xfrm>
                      <a:off x="0" y="0"/>
                      <a:ext cx="4572000" cy="1447800"/>
                    </a:xfrm>
                    <a:prstGeom prst="rect">
                      <a:avLst/>
                    </a:prstGeom>
                  </pic:spPr>
                </pic:pic>
              </a:graphicData>
            </a:graphic>
          </wp:inline>
        </w:drawing>
      </w:r>
    </w:p>
    <w:p w:rsidR="667D9899" w:rsidP="2DF28C0E" w:rsidRDefault="667D9899" w14:paraId="480B3D20" w14:textId="35948352">
      <w:pPr>
        <w:pStyle w:val="Normal"/>
        <w:bidi w:val="0"/>
        <w:spacing w:before="0" w:beforeAutospacing="off" w:after="160" w:afterAutospacing="off" w:line="259" w:lineRule="auto"/>
        <w:ind w:left="0" w:right="0"/>
        <w:jc w:val="center"/>
        <w:rPr>
          <w:i w:val="1"/>
          <w:iCs w:val="1"/>
          <w:noProof w:val="0"/>
          <w:sz w:val="20"/>
          <w:szCs w:val="20"/>
          <w:lang w:val="en-US"/>
        </w:rPr>
      </w:pPr>
      <w:r w:rsidRPr="2DF28C0E" w:rsidR="04398216">
        <w:rPr>
          <w:i w:val="1"/>
          <w:iCs w:val="1"/>
          <w:sz w:val="20"/>
          <w:szCs w:val="20"/>
        </w:rPr>
        <w:t>Use Single Name Field checkbox</w:t>
      </w:r>
    </w:p>
    <w:p w:rsidR="667D9899" w:rsidP="667D9899" w:rsidRDefault="667D9899" w14:paraId="1E3AA6D1" w14:textId="36CEE95E">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6F3D0C9D" w:rsidP="2DF28C0E" w:rsidRDefault="6F3D0C9D" w14:paraId="6B524693" w14:textId="0461150D">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3EA36D25" w:rsidR="6F3D0C9D">
        <w:rPr>
          <w:rFonts w:ascii="Calibri" w:hAnsi="Calibri" w:eastAsia="Calibri" w:cs="Calibri"/>
          <w:noProof w:val="0"/>
          <w:sz w:val="22"/>
          <w:szCs w:val="22"/>
          <w:lang w:val="en-US"/>
        </w:rPr>
        <w:t xml:space="preserve">As of Polaris 7.4, the patron Last Name Field can now </w:t>
      </w:r>
      <w:r w:rsidRPr="3EA36D25" w:rsidR="02D15ED0">
        <w:rPr>
          <w:rFonts w:ascii="Calibri" w:hAnsi="Calibri" w:eastAsia="Calibri" w:cs="Calibri"/>
          <w:noProof w:val="0"/>
          <w:sz w:val="22"/>
          <w:szCs w:val="22"/>
          <w:lang w:val="en-US"/>
        </w:rPr>
        <w:t xml:space="preserve">hold </w:t>
      </w:r>
      <w:r w:rsidRPr="3EA36D25" w:rsidR="6F3D0C9D">
        <w:rPr>
          <w:rFonts w:ascii="Calibri" w:hAnsi="Calibri" w:eastAsia="Calibri" w:cs="Calibri"/>
          <w:noProof w:val="0"/>
          <w:sz w:val="22"/>
          <w:szCs w:val="22"/>
          <w:lang w:val="en-US"/>
        </w:rPr>
        <w:t>up to 100 characters in order to support longer names.</w:t>
      </w:r>
      <w:r w:rsidRPr="3EA36D25" w:rsidR="6F3D0C9D">
        <w:rPr>
          <w:rFonts w:ascii="Calibri" w:hAnsi="Calibri" w:eastAsia="Calibri" w:cs="Calibri"/>
          <w:noProof w:val="0"/>
          <w:sz w:val="22"/>
          <w:szCs w:val="22"/>
          <w:lang w:val="en-US"/>
        </w:rPr>
        <w:t xml:space="preserve"> </w:t>
      </w:r>
      <w:r w:rsidRPr="3EA36D25" w:rsidR="78CFD1A6">
        <w:rPr>
          <w:rFonts w:ascii="Calibri" w:hAnsi="Calibri" w:eastAsia="Calibri" w:cs="Calibri"/>
          <w:noProof w:val="0"/>
          <w:sz w:val="22"/>
          <w:szCs w:val="22"/>
          <w:lang w:val="en-US"/>
        </w:rPr>
        <w:t>This opens the possibility of entering a single name for institutions, such as ILL Library accounts.</w:t>
      </w:r>
    </w:p>
    <w:p w:rsidR="2DF28C0E" w:rsidP="3EA36D25" w:rsidRDefault="2DF28C0E" w14:paraId="6E4874A7" w14:textId="5CCB4A1D">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3EA36D25" w:rsidR="6F3D0C9D">
        <w:rPr>
          <w:rFonts w:ascii="Calibri" w:hAnsi="Calibri" w:eastAsia="Calibri" w:cs="Calibri"/>
          <w:noProof w:val="0"/>
          <w:sz w:val="22"/>
          <w:szCs w:val="22"/>
          <w:lang w:val="en-US"/>
        </w:rPr>
        <w:t xml:space="preserve">This setting can be enabled by branch. If enabled, we would either enable system-wide or enable </w:t>
      </w:r>
      <w:r w:rsidRPr="3EA36D25" w:rsidR="1060930D">
        <w:rPr>
          <w:rFonts w:ascii="Calibri" w:hAnsi="Calibri" w:eastAsia="Calibri" w:cs="Calibri"/>
          <w:noProof w:val="0"/>
          <w:sz w:val="22"/>
          <w:szCs w:val="22"/>
          <w:lang w:val="en-US"/>
        </w:rPr>
        <w:t xml:space="preserve">just for the ILL for Cooperative Computer Services </w:t>
      </w:r>
      <w:r w:rsidRPr="3EA36D25" w:rsidR="1060930D">
        <w:rPr>
          <w:rFonts w:ascii="Calibri" w:hAnsi="Calibri" w:eastAsia="Calibri" w:cs="Calibri"/>
          <w:noProof w:val="0"/>
          <w:sz w:val="22"/>
          <w:szCs w:val="22"/>
          <w:lang w:val="en-US"/>
        </w:rPr>
        <w:t>branch.</w:t>
      </w:r>
    </w:p>
    <w:p w:rsidR="55AEB99A" w:rsidP="3EA36D25" w:rsidRDefault="55AEB99A" w14:paraId="23C80EFA" w14:textId="56E720F1">
      <w:pPr>
        <w:pStyle w:val="Normal"/>
        <w:bidi w:val="0"/>
        <w:spacing w:before="0" w:beforeAutospacing="off" w:after="160" w:afterAutospacing="off" w:line="259" w:lineRule="auto"/>
        <w:ind w:left="0" w:right="0"/>
        <w:jc w:val="left"/>
        <w:rPr>
          <w:rFonts w:ascii="Calibri" w:hAnsi="Calibri" w:eastAsia="Calibri" w:cs="Calibri"/>
          <w:b w:val="0"/>
          <w:bCs w:val="0"/>
          <w:noProof w:val="0"/>
          <w:sz w:val="22"/>
          <w:szCs w:val="22"/>
          <w:lang w:val="en-US"/>
        </w:rPr>
      </w:pPr>
      <w:r w:rsidRPr="3EA36D25" w:rsidR="55AEB99A">
        <w:rPr>
          <w:rFonts w:ascii="Calibri" w:hAnsi="Calibri" w:eastAsia="Calibri" w:cs="Calibri"/>
          <w:b w:val="0"/>
          <w:bCs w:val="0"/>
          <w:noProof w:val="0"/>
          <w:sz w:val="22"/>
          <w:szCs w:val="22"/>
          <w:lang w:val="en-US"/>
        </w:rPr>
        <w:t>Searching and Reports:</w:t>
      </w:r>
    </w:p>
    <w:p w:rsidR="6F3D0C9D" w:rsidP="3EA36D25" w:rsidRDefault="6F3D0C9D" w14:paraId="3F70A705" w14:textId="085DC338">
      <w:pPr>
        <w:pStyle w:val="ListParagraph"/>
        <w:numPr>
          <w:ilvl w:val="0"/>
          <w:numId w:val="49"/>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6F3D0C9D">
        <w:rPr>
          <w:rFonts w:ascii="Calibri" w:hAnsi="Calibri" w:eastAsia="Calibri" w:cs="Calibri"/>
          <w:b w:val="1"/>
          <w:bCs w:val="1"/>
          <w:noProof w:val="0"/>
          <w:sz w:val="22"/>
          <w:szCs w:val="22"/>
          <w:lang w:val="en-US"/>
        </w:rPr>
        <w:t>The Quick Search Box</w:t>
      </w:r>
      <w:r w:rsidRPr="3EA36D25" w:rsidR="6FB305A5">
        <w:rPr>
          <w:rFonts w:ascii="Calibri" w:hAnsi="Calibri" w:eastAsia="Calibri" w:cs="Calibri"/>
          <w:b w:val="1"/>
          <w:bCs w:val="1"/>
          <w:noProof w:val="0"/>
          <w:sz w:val="22"/>
          <w:szCs w:val="22"/>
          <w:lang w:val="en-US"/>
        </w:rPr>
        <w:t xml:space="preserve"> </w:t>
      </w:r>
      <w:r>
        <w:br/>
      </w:r>
      <w:r w:rsidRPr="3EA36D25" w:rsidR="61B50948">
        <w:rPr>
          <w:rFonts w:ascii="Calibri" w:hAnsi="Calibri" w:eastAsia="Calibri" w:cs="Calibri"/>
          <w:noProof w:val="0"/>
          <w:sz w:val="22"/>
          <w:szCs w:val="22"/>
          <w:lang w:val="en-US"/>
        </w:rPr>
        <w:t xml:space="preserve">The Leap Quick Search Box will search </w:t>
      </w:r>
      <w:r w:rsidRPr="3EA36D25" w:rsidR="27C017A3">
        <w:rPr>
          <w:rFonts w:ascii="Calibri" w:hAnsi="Calibri" w:eastAsia="Calibri" w:cs="Calibri"/>
          <w:noProof w:val="0"/>
          <w:sz w:val="22"/>
          <w:szCs w:val="22"/>
          <w:lang w:val="en-US"/>
        </w:rPr>
        <w:t>for first name,</w:t>
      </w:r>
      <w:r w:rsidRPr="3EA36D25" w:rsidR="44E8EB03">
        <w:rPr>
          <w:rFonts w:ascii="Calibri" w:hAnsi="Calibri" w:eastAsia="Calibri" w:cs="Calibri"/>
          <w:noProof w:val="0"/>
          <w:sz w:val="22"/>
          <w:szCs w:val="22"/>
          <w:lang w:val="en-US"/>
        </w:rPr>
        <w:t xml:space="preserve"> middle name,</w:t>
      </w:r>
      <w:r w:rsidRPr="3EA36D25" w:rsidR="27C017A3">
        <w:rPr>
          <w:rFonts w:ascii="Calibri" w:hAnsi="Calibri" w:eastAsia="Calibri" w:cs="Calibri"/>
          <w:noProof w:val="0"/>
          <w:sz w:val="22"/>
          <w:szCs w:val="22"/>
          <w:lang w:val="en-US"/>
        </w:rPr>
        <w:t xml:space="preserve"> last name, first-middle-last name,</w:t>
      </w:r>
      <w:r w:rsidRPr="3EA36D25" w:rsidR="6D60044E">
        <w:rPr>
          <w:rFonts w:ascii="Calibri" w:hAnsi="Calibri" w:eastAsia="Calibri" w:cs="Calibri"/>
          <w:noProof w:val="0"/>
          <w:sz w:val="22"/>
          <w:szCs w:val="22"/>
          <w:lang w:val="en-US"/>
        </w:rPr>
        <w:t xml:space="preserve"> </w:t>
      </w:r>
      <w:r w:rsidRPr="3EA36D25" w:rsidR="6D60044E">
        <w:rPr>
          <w:rFonts w:ascii="Calibri" w:hAnsi="Calibri" w:eastAsia="Calibri" w:cs="Calibri"/>
          <w:noProof w:val="0"/>
          <w:sz w:val="22"/>
          <w:szCs w:val="22"/>
          <w:lang w:val="en-US"/>
        </w:rPr>
        <w:t>or</w:t>
      </w:r>
      <w:r w:rsidRPr="3EA36D25" w:rsidR="27C017A3">
        <w:rPr>
          <w:rFonts w:ascii="Calibri" w:hAnsi="Calibri" w:eastAsia="Calibri" w:cs="Calibri"/>
          <w:noProof w:val="0"/>
          <w:sz w:val="22"/>
          <w:szCs w:val="22"/>
          <w:lang w:val="en-US"/>
        </w:rPr>
        <w:t xml:space="preserve"> </w:t>
      </w:r>
      <w:r w:rsidRPr="3EA36D25" w:rsidR="6FB305A5">
        <w:rPr>
          <w:rFonts w:ascii="Calibri" w:hAnsi="Calibri" w:eastAsia="Calibri" w:cs="Calibri"/>
          <w:noProof w:val="0"/>
          <w:sz w:val="22"/>
          <w:szCs w:val="22"/>
          <w:lang w:val="en-US"/>
        </w:rPr>
        <w:t xml:space="preserve"> </w:t>
      </w:r>
      <w:r w:rsidRPr="3EA36D25" w:rsidR="07030388">
        <w:rPr>
          <w:rFonts w:ascii="Calibri" w:hAnsi="Calibri" w:eastAsia="Calibri" w:cs="Calibri"/>
          <w:noProof w:val="0"/>
          <w:sz w:val="22"/>
          <w:szCs w:val="22"/>
          <w:lang w:val="en-US"/>
        </w:rPr>
        <w:t>last</w:t>
      </w:r>
      <w:r w:rsidRPr="3EA36D25" w:rsidR="07030388">
        <w:rPr>
          <w:rFonts w:ascii="Calibri" w:hAnsi="Calibri" w:eastAsia="Calibri" w:cs="Calibri"/>
          <w:noProof w:val="0"/>
          <w:sz w:val="22"/>
          <w:szCs w:val="22"/>
          <w:lang w:val="en-US"/>
        </w:rPr>
        <w:t>-first-middle name.</w:t>
      </w:r>
      <w:r w:rsidRPr="3EA36D25" w:rsidR="1850D94C">
        <w:rPr>
          <w:rFonts w:ascii="Calibri" w:hAnsi="Calibri" w:eastAsia="Calibri" w:cs="Calibri"/>
          <w:noProof w:val="0"/>
          <w:sz w:val="22"/>
          <w:szCs w:val="22"/>
          <w:lang w:val="en-US"/>
        </w:rPr>
        <w:t xml:space="preserve"> Staff will be able to search for patrons that only use </w:t>
      </w:r>
      <w:r w:rsidRPr="3EA36D25" w:rsidR="1850D94C">
        <w:rPr>
          <w:rFonts w:ascii="Calibri" w:hAnsi="Calibri" w:eastAsia="Calibri" w:cs="Calibri"/>
          <w:noProof w:val="0"/>
          <w:sz w:val="22"/>
          <w:szCs w:val="22"/>
          <w:lang w:val="en-US"/>
        </w:rPr>
        <w:t>a last</w:t>
      </w:r>
      <w:r w:rsidRPr="3EA36D25" w:rsidR="1850D94C">
        <w:rPr>
          <w:rFonts w:ascii="Calibri" w:hAnsi="Calibri" w:eastAsia="Calibri" w:cs="Calibri"/>
          <w:noProof w:val="0"/>
          <w:sz w:val="22"/>
          <w:szCs w:val="22"/>
          <w:lang w:val="en-US"/>
        </w:rPr>
        <w:t xml:space="preserve"> name.</w:t>
      </w:r>
    </w:p>
    <w:p w:rsidR="1850D94C" w:rsidP="3EA36D25" w:rsidRDefault="1850D94C" w14:paraId="0549CD30" w14:textId="045CF0B5">
      <w:pPr>
        <w:pStyle w:val="ListParagraph"/>
        <w:numPr>
          <w:ilvl w:val="0"/>
          <w:numId w:val="49"/>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1850D94C">
        <w:rPr>
          <w:rFonts w:ascii="Calibri" w:hAnsi="Calibri" w:eastAsia="Calibri" w:cs="Calibri"/>
          <w:b w:val="1"/>
          <w:bCs w:val="1"/>
          <w:noProof w:val="0"/>
          <w:sz w:val="22"/>
          <w:szCs w:val="22"/>
          <w:lang w:val="en-US"/>
        </w:rPr>
        <w:t>The Leap Find Tool</w:t>
      </w:r>
      <w:r>
        <w:br/>
      </w:r>
      <w:r w:rsidRPr="3EA36D25" w:rsidR="3D95DE03">
        <w:rPr>
          <w:rFonts w:ascii="Calibri" w:hAnsi="Calibri" w:eastAsia="Calibri" w:cs="Calibri"/>
          <w:noProof w:val="0"/>
          <w:sz w:val="22"/>
          <w:szCs w:val="22"/>
          <w:lang w:val="en-US"/>
        </w:rPr>
        <w:t xml:space="preserve">When searching using the Leap Find Tool, staff can choose to search </w:t>
      </w:r>
      <w:r w:rsidRPr="3EA36D25" w:rsidR="698B322A">
        <w:rPr>
          <w:rFonts w:ascii="Calibri" w:hAnsi="Calibri" w:eastAsia="Calibri" w:cs="Calibri"/>
          <w:noProof w:val="0"/>
          <w:sz w:val="22"/>
          <w:szCs w:val="22"/>
          <w:lang w:val="en-US"/>
        </w:rPr>
        <w:t>A</w:t>
      </w:r>
      <w:r w:rsidRPr="3EA36D25" w:rsidR="3D95DE03">
        <w:rPr>
          <w:rFonts w:ascii="Calibri" w:hAnsi="Calibri" w:eastAsia="Calibri" w:cs="Calibri"/>
          <w:noProof w:val="0"/>
          <w:sz w:val="22"/>
          <w:szCs w:val="22"/>
          <w:lang w:val="en-US"/>
        </w:rPr>
        <w:t>ll keyword fields, Name (Last, first middle), or Name (</w:t>
      </w:r>
      <w:r w:rsidRPr="3EA36D25" w:rsidR="08679FC5">
        <w:rPr>
          <w:rFonts w:ascii="Calibri" w:hAnsi="Calibri" w:eastAsia="Calibri" w:cs="Calibri"/>
          <w:noProof w:val="0"/>
          <w:sz w:val="22"/>
          <w:szCs w:val="22"/>
          <w:lang w:val="en-US"/>
        </w:rPr>
        <w:t xml:space="preserve">First middle last) to </w:t>
      </w:r>
      <w:r w:rsidRPr="3EA36D25" w:rsidR="08679FC5">
        <w:rPr>
          <w:rFonts w:ascii="Calibri" w:hAnsi="Calibri" w:eastAsia="Calibri" w:cs="Calibri"/>
          <w:noProof w:val="0"/>
          <w:sz w:val="22"/>
          <w:szCs w:val="22"/>
          <w:lang w:val="en-US"/>
        </w:rPr>
        <w:t>locate</w:t>
      </w:r>
      <w:r w:rsidRPr="3EA36D25" w:rsidR="08679FC5">
        <w:rPr>
          <w:rFonts w:ascii="Calibri" w:hAnsi="Calibri" w:eastAsia="Calibri" w:cs="Calibri"/>
          <w:noProof w:val="0"/>
          <w:sz w:val="22"/>
          <w:szCs w:val="22"/>
          <w:lang w:val="en-US"/>
        </w:rPr>
        <w:t xml:space="preserve"> patrons that only use a last name.</w:t>
      </w:r>
    </w:p>
    <w:p w:rsidR="08679FC5" w:rsidP="3EA36D25" w:rsidRDefault="08679FC5" w14:paraId="5D7A7F4C" w14:textId="77723AA1">
      <w:pPr>
        <w:pStyle w:val="ListParagraph"/>
        <w:numPr>
          <w:ilvl w:val="0"/>
          <w:numId w:val="49"/>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08679FC5">
        <w:rPr>
          <w:rFonts w:ascii="Calibri" w:hAnsi="Calibri" w:eastAsia="Calibri" w:cs="Calibri"/>
          <w:b w:val="1"/>
          <w:bCs w:val="1"/>
          <w:noProof w:val="0"/>
          <w:sz w:val="22"/>
          <w:szCs w:val="22"/>
          <w:lang w:val="en-US"/>
        </w:rPr>
        <w:t>Reports</w:t>
      </w:r>
      <w:r>
        <w:br/>
      </w:r>
      <w:r w:rsidRPr="3EA36D25" w:rsidR="19ADE8DD">
        <w:rPr>
          <w:rFonts w:ascii="Calibri" w:hAnsi="Calibri" w:eastAsia="Calibri" w:cs="Calibri"/>
          <w:noProof w:val="0"/>
          <w:sz w:val="22"/>
          <w:szCs w:val="22"/>
          <w:lang w:val="en-US"/>
        </w:rPr>
        <w:t>When generating a Simply Report</w:t>
      </w:r>
      <w:r w:rsidRPr="3EA36D25" w:rsidR="5F7959AB">
        <w:rPr>
          <w:rFonts w:ascii="Calibri" w:hAnsi="Calibri" w:eastAsia="Calibri" w:cs="Calibri"/>
          <w:noProof w:val="0"/>
          <w:sz w:val="22"/>
          <w:szCs w:val="22"/>
          <w:lang w:val="en-US"/>
        </w:rPr>
        <w:t>,</w:t>
      </w:r>
      <w:r w:rsidRPr="3EA36D25" w:rsidR="19ADE8DD">
        <w:rPr>
          <w:rFonts w:ascii="Calibri" w:hAnsi="Calibri" w:eastAsia="Calibri" w:cs="Calibri"/>
          <w:noProof w:val="0"/>
          <w:sz w:val="22"/>
          <w:szCs w:val="22"/>
          <w:lang w:val="en-US"/>
        </w:rPr>
        <w:t xml:space="preserve"> Web Report, </w:t>
      </w:r>
      <w:r w:rsidRPr="3EA36D25" w:rsidR="5DBB7409">
        <w:rPr>
          <w:rFonts w:ascii="Calibri" w:hAnsi="Calibri" w:eastAsia="Calibri" w:cs="Calibri"/>
          <w:noProof w:val="0"/>
          <w:sz w:val="22"/>
          <w:szCs w:val="22"/>
          <w:lang w:val="en-US"/>
        </w:rPr>
        <w:t xml:space="preserve">or Staff Client report, </w:t>
      </w:r>
      <w:r w:rsidRPr="3EA36D25" w:rsidR="19ADE8DD">
        <w:rPr>
          <w:rFonts w:ascii="Calibri" w:hAnsi="Calibri" w:eastAsia="Calibri" w:cs="Calibri"/>
          <w:noProof w:val="0"/>
          <w:sz w:val="22"/>
          <w:szCs w:val="22"/>
          <w:lang w:val="en-US"/>
        </w:rPr>
        <w:t xml:space="preserve">patron last name data will appear in patron last name or </w:t>
      </w:r>
      <w:r w:rsidRPr="3EA36D25" w:rsidR="19ADE8DD">
        <w:rPr>
          <w:rFonts w:ascii="Calibri" w:hAnsi="Calibri" w:eastAsia="Calibri" w:cs="Calibri"/>
          <w:noProof w:val="0"/>
          <w:sz w:val="22"/>
          <w:szCs w:val="22"/>
          <w:lang w:val="en-US"/>
        </w:rPr>
        <w:t>patron full name output. Sta</w:t>
      </w:r>
      <w:r w:rsidRPr="3EA36D25" w:rsidR="01A025B3">
        <w:rPr>
          <w:rFonts w:ascii="Calibri" w:hAnsi="Calibri" w:eastAsia="Calibri" w:cs="Calibri"/>
          <w:noProof w:val="0"/>
          <w:sz w:val="22"/>
          <w:szCs w:val="22"/>
          <w:lang w:val="en-US"/>
        </w:rPr>
        <w:t>ff will not see data in first name only output</w:t>
      </w:r>
      <w:r w:rsidRPr="3EA36D25" w:rsidR="4B62F3A7">
        <w:rPr>
          <w:rFonts w:ascii="Calibri" w:hAnsi="Calibri" w:eastAsia="Calibri" w:cs="Calibri"/>
          <w:noProof w:val="0"/>
          <w:sz w:val="22"/>
          <w:szCs w:val="22"/>
          <w:lang w:val="en-US"/>
        </w:rPr>
        <w:t xml:space="preserve"> if a patron only uses a last name.</w:t>
      </w:r>
    </w:p>
    <w:p w:rsidR="2DF28C0E" w:rsidP="2DF28C0E" w:rsidRDefault="2DF28C0E" w14:paraId="010CF63B" w14:textId="6B9F3074">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2DF28C0E" w:rsidP="3EA36D25" w:rsidRDefault="2DF28C0E" w14:paraId="4DE36A14" w14:textId="42780020">
      <w:pPr>
        <w:pStyle w:val="Heading2"/>
        <w:bidi w:val="0"/>
        <w:rPr>
          <w:noProof w:val="0"/>
          <w:lang w:val="en-US"/>
        </w:rPr>
      </w:pPr>
      <w:r w:rsidRPr="3EA36D25" w:rsidR="0734A01A">
        <w:rPr>
          <w:noProof w:val="0"/>
          <w:lang w:val="en-US"/>
        </w:rPr>
        <w:t xml:space="preserve">Enabling Single Name Only for the </w:t>
      </w:r>
      <w:r w:rsidRPr="3EA36D25" w:rsidR="7339CB51">
        <w:rPr>
          <w:noProof w:val="0"/>
          <w:lang w:val="en-US"/>
        </w:rPr>
        <w:t>ILL for Cooperative Computer Services Branch</w:t>
      </w:r>
    </w:p>
    <w:p w:rsidR="2DF28C0E" w:rsidP="3EA36D25" w:rsidRDefault="2DF28C0E" w14:paraId="344CBAD8" w14:textId="5926D748">
      <w:pPr>
        <w:pStyle w:val="Normal"/>
        <w:bidi w:val="0"/>
        <w:rPr>
          <w:noProof w:val="0"/>
          <w:lang w:val="en-US"/>
        </w:rPr>
      </w:pPr>
      <w:r w:rsidRPr="3EA36D25" w:rsidR="7E819211">
        <w:rPr>
          <w:noProof w:val="0"/>
          <w:lang w:val="en-US"/>
        </w:rPr>
        <w:t>Non-CCS libraries may have a patron record in the CCS database. These libraries have a Registered At branch of ILL for Cooperative Computer Services (CCSILL)</w:t>
      </w:r>
      <w:r w:rsidRPr="3EA36D25" w:rsidR="225B4E1E">
        <w:rPr>
          <w:noProof w:val="0"/>
          <w:lang w:val="en-US"/>
        </w:rPr>
        <w:t xml:space="preserve">. Some libraries will check outgoing interlibrary loan items out to these patron accounts. </w:t>
      </w:r>
    </w:p>
    <w:p w:rsidR="2DF28C0E" w:rsidP="3EA36D25" w:rsidRDefault="2DF28C0E" w14:paraId="2CB88627" w14:textId="6EA111A6">
      <w:pPr>
        <w:pStyle w:val="Normal"/>
        <w:bidi w:val="0"/>
        <w:spacing w:before="0" w:beforeAutospacing="off" w:after="160" w:afterAutospacing="off" w:line="259" w:lineRule="auto"/>
        <w:ind w:left="0" w:right="0"/>
        <w:jc w:val="left"/>
        <w:rPr>
          <w:noProof w:val="0"/>
          <w:lang w:val="en-US"/>
        </w:rPr>
      </w:pPr>
      <w:r w:rsidRPr="3EA36D25" w:rsidR="225B4E1E">
        <w:rPr>
          <w:noProof w:val="0"/>
          <w:lang w:val="en-US"/>
        </w:rPr>
        <w:t xml:space="preserve">Since use of both first name and last name fields are </w:t>
      </w:r>
      <w:r w:rsidRPr="3EA36D25" w:rsidR="225B4E1E">
        <w:rPr>
          <w:noProof w:val="0"/>
          <w:lang w:val="en-US"/>
        </w:rPr>
        <w:t>required</w:t>
      </w:r>
      <w:r w:rsidRPr="3EA36D25" w:rsidR="225B4E1E">
        <w:rPr>
          <w:noProof w:val="0"/>
          <w:lang w:val="en-US"/>
        </w:rPr>
        <w:t>, staff need to</w:t>
      </w:r>
      <w:r w:rsidRPr="3EA36D25" w:rsidR="3E19720F">
        <w:rPr>
          <w:noProof w:val="0"/>
          <w:lang w:val="en-US"/>
        </w:rPr>
        <w:t xml:space="preserve"> split</w:t>
      </w:r>
      <w:r w:rsidRPr="3EA36D25" w:rsidR="6DCD6017">
        <w:rPr>
          <w:noProof w:val="0"/>
          <w:lang w:val="en-US"/>
        </w:rPr>
        <w:t xml:space="preserve"> an</w:t>
      </w:r>
      <w:r w:rsidRPr="3EA36D25" w:rsidR="3E19720F">
        <w:rPr>
          <w:noProof w:val="0"/>
          <w:lang w:val="en-US"/>
        </w:rPr>
        <w:t xml:space="preserve"> </w:t>
      </w:r>
      <w:r w:rsidRPr="3EA36D25" w:rsidR="3E19720F">
        <w:rPr>
          <w:noProof w:val="0"/>
          <w:lang w:val="en-US"/>
        </w:rPr>
        <w:t>institution</w:t>
      </w:r>
      <w:r w:rsidRPr="3EA36D25" w:rsidR="0B0F6453">
        <w:rPr>
          <w:noProof w:val="0"/>
          <w:lang w:val="en-US"/>
        </w:rPr>
        <w:t>’s</w:t>
      </w:r>
      <w:r w:rsidRPr="3EA36D25" w:rsidR="3E19720F">
        <w:rPr>
          <w:noProof w:val="0"/>
          <w:lang w:val="en-US"/>
        </w:rPr>
        <w:t xml:space="preserve"> name into two fields</w:t>
      </w:r>
      <w:r w:rsidRPr="3EA36D25" w:rsidR="4511CE71">
        <w:rPr>
          <w:noProof w:val="0"/>
          <w:lang w:val="en-US"/>
        </w:rPr>
        <w:t xml:space="preserve">. The </w:t>
      </w:r>
      <w:hyperlink r:id="R2e6d84e115a041fc">
        <w:r w:rsidRPr="3EA36D25" w:rsidR="4511CE71">
          <w:rPr>
            <w:rStyle w:val="Hyperlink"/>
            <w:noProof w:val="0"/>
            <w:lang w:val="en-US"/>
          </w:rPr>
          <w:t>ILL Library Accounts</w:t>
        </w:r>
      </w:hyperlink>
      <w:r w:rsidRPr="3EA36D25" w:rsidR="4511CE71">
        <w:rPr>
          <w:noProof w:val="0"/>
          <w:lang w:val="en-US"/>
        </w:rPr>
        <w:t xml:space="preserve"> how-to website page details the current convention for entering an ILL library name. </w:t>
      </w:r>
      <w:r w:rsidRPr="3EA36D25" w:rsidR="4885EDF7">
        <w:rPr>
          <w:noProof w:val="0"/>
          <w:lang w:val="en-US"/>
        </w:rPr>
        <w:t xml:space="preserve">For public libraries, the current convention is to enter the library’s delivery code into the first name field and the institution name into the last name field. For academic libraries, the current convention is to </w:t>
      </w:r>
      <w:r w:rsidRPr="3EA36D25" w:rsidR="50B25BBF">
        <w:rPr>
          <w:noProof w:val="0"/>
          <w:lang w:val="en-US"/>
        </w:rPr>
        <w:t>enter the library’s delivery code into the first name field, the library’s name into the middle name field, and the university's name into the last name field.</w:t>
      </w:r>
    </w:p>
    <w:p w:rsidR="2DF28C0E" w:rsidP="3EA36D25" w:rsidRDefault="2DF28C0E" w14:paraId="7E786677" w14:textId="1FBBACC5">
      <w:pPr>
        <w:pStyle w:val="Normal"/>
        <w:bidi w:val="0"/>
        <w:spacing w:before="0" w:beforeAutospacing="off" w:after="160" w:afterAutospacing="off" w:line="259" w:lineRule="auto"/>
        <w:ind w:left="0" w:right="0"/>
        <w:jc w:val="left"/>
        <w:rPr>
          <w:noProof w:val="0"/>
          <w:lang w:val="en-US"/>
        </w:rPr>
      </w:pPr>
      <w:r w:rsidRPr="3EA36D25" w:rsidR="791526D7">
        <w:rPr>
          <w:noProof w:val="0"/>
          <w:lang w:val="en-US"/>
        </w:rPr>
        <w:t xml:space="preserve">As of September 7, 2023, there are 3,017 </w:t>
      </w:r>
      <w:r w:rsidRPr="3EA36D25" w:rsidR="791526D7">
        <w:rPr>
          <w:noProof w:val="0"/>
          <w:lang w:val="en-US"/>
        </w:rPr>
        <w:t>ILL</w:t>
      </w:r>
      <w:r w:rsidRPr="3EA36D25" w:rsidR="791526D7">
        <w:rPr>
          <w:noProof w:val="0"/>
          <w:lang w:val="en-US"/>
        </w:rPr>
        <w:t xml:space="preserve"> for Cooperative Computer Services patron records in the database.</w:t>
      </w:r>
      <w:r w:rsidRPr="3EA36D25" w:rsidR="440306AF">
        <w:rPr>
          <w:noProof w:val="0"/>
          <w:lang w:val="en-US"/>
        </w:rPr>
        <w:t xml:space="preserve"> If </w:t>
      </w:r>
      <w:r w:rsidRPr="3EA36D25" w:rsidR="765EF13A">
        <w:rPr>
          <w:noProof w:val="0"/>
          <w:lang w:val="en-US"/>
        </w:rPr>
        <w:t xml:space="preserve">the </w:t>
      </w:r>
      <w:r w:rsidRPr="3EA36D25" w:rsidR="765EF13A">
        <w:rPr>
          <w:noProof w:val="0"/>
          <w:lang w:val="en-US"/>
        </w:rPr>
        <w:t>option</w:t>
      </w:r>
      <w:r w:rsidRPr="3EA36D25" w:rsidR="765EF13A">
        <w:rPr>
          <w:noProof w:val="0"/>
          <w:lang w:val="en-US"/>
        </w:rPr>
        <w:t xml:space="preserve"> for Single Name Only is activated for the ILL for Cooperative Computer Services branch, CCS would bulk prepend </w:t>
      </w:r>
      <w:r w:rsidRPr="3EA36D25" w:rsidR="6E43591F">
        <w:rPr>
          <w:noProof w:val="0"/>
          <w:lang w:val="en-US"/>
        </w:rPr>
        <w:t xml:space="preserve">the first name field in records to the last name field. </w:t>
      </w:r>
    </w:p>
    <w:p w:rsidR="2DF28C0E" w:rsidP="3EA36D25" w:rsidRDefault="2DF28C0E" w14:paraId="73966A9E" w14:textId="1CE59A7F">
      <w:pPr>
        <w:pStyle w:val="Normal"/>
        <w:bidi w:val="0"/>
        <w:spacing w:before="0" w:beforeAutospacing="off" w:after="160" w:afterAutospacing="off" w:line="259" w:lineRule="auto"/>
        <w:ind w:left="0" w:right="0"/>
        <w:jc w:val="left"/>
        <w:rPr>
          <w:b w:val="1"/>
          <w:bCs w:val="1"/>
          <w:noProof w:val="0"/>
          <w:lang w:val="en-US"/>
        </w:rPr>
      </w:pPr>
      <w:r w:rsidRPr="3EA36D25" w:rsidR="6E43591F">
        <w:rPr>
          <w:b w:val="1"/>
          <w:bCs w:val="1"/>
          <w:noProof w:val="0"/>
          <w:lang w:val="en-US"/>
        </w:rPr>
        <w:t xml:space="preserve">Example: </w:t>
      </w:r>
    </w:p>
    <w:tbl>
      <w:tblPr>
        <w:tblStyle w:val="TableGrid"/>
        <w:bidiVisual w:val="0"/>
        <w:tblW w:w="0" w:type="auto"/>
        <w:tblLayout w:type="fixed"/>
        <w:tblLook w:val="06A0" w:firstRow="1" w:lastRow="0" w:firstColumn="1" w:lastColumn="0" w:noHBand="1" w:noVBand="1"/>
      </w:tblPr>
      <w:tblGrid>
        <w:gridCol w:w="1168"/>
        <w:gridCol w:w="1545"/>
        <w:gridCol w:w="2518"/>
        <w:gridCol w:w="420"/>
        <w:gridCol w:w="3708"/>
      </w:tblGrid>
      <w:tr w:rsidR="3EA36D25" w:rsidTr="3EA36D25" w14:paraId="3F77387B">
        <w:trPr>
          <w:trHeight w:val="300"/>
        </w:trPr>
        <w:tc>
          <w:tcPr>
            <w:tcW w:w="1168" w:type="dxa"/>
            <w:shd w:val="clear" w:color="auto" w:fill="E7E6E6" w:themeFill="background2"/>
            <w:tcMar/>
          </w:tcPr>
          <w:p w:rsidR="6E43591F" w:rsidP="3EA36D25" w:rsidRDefault="6E43591F" w14:paraId="302374C0" w14:textId="02CBD0C4">
            <w:pPr>
              <w:pStyle w:val="Normal"/>
              <w:bidi w:val="0"/>
              <w:jc w:val="center"/>
              <w:rPr>
                <w:b w:val="1"/>
                <w:bCs w:val="1"/>
                <w:noProof w:val="0"/>
                <w:lang w:val="en-US"/>
              </w:rPr>
            </w:pPr>
            <w:r w:rsidRPr="3EA36D25" w:rsidR="6E43591F">
              <w:rPr>
                <w:b w:val="1"/>
                <w:bCs w:val="1"/>
                <w:noProof w:val="0"/>
                <w:lang w:val="en-US"/>
              </w:rPr>
              <w:t>First Name</w:t>
            </w:r>
          </w:p>
        </w:tc>
        <w:tc>
          <w:tcPr>
            <w:tcW w:w="1545" w:type="dxa"/>
            <w:shd w:val="clear" w:color="auto" w:fill="E7E6E6" w:themeFill="background2"/>
            <w:tcMar/>
          </w:tcPr>
          <w:p w:rsidR="3004CE58" w:rsidP="3EA36D25" w:rsidRDefault="3004CE58" w14:paraId="4BC5FA9D" w14:textId="45527C39">
            <w:pPr>
              <w:pStyle w:val="Normal"/>
              <w:bidi w:val="0"/>
              <w:jc w:val="center"/>
              <w:rPr>
                <w:b w:val="1"/>
                <w:bCs w:val="1"/>
                <w:noProof w:val="0"/>
                <w:lang w:val="en-US"/>
              </w:rPr>
            </w:pPr>
            <w:r w:rsidRPr="3EA36D25" w:rsidR="3004CE58">
              <w:rPr>
                <w:b w:val="1"/>
                <w:bCs w:val="1"/>
                <w:noProof w:val="0"/>
                <w:lang w:val="en-US"/>
              </w:rPr>
              <w:t>Middle Name</w:t>
            </w:r>
          </w:p>
        </w:tc>
        <w:tc>
          <w:tcPr>
            <w:tcW w:w="2518" w:type="dxa"/>
            <w:shd w:val="clear" w:color="auto" w:fill="E7E6E6" w:themeFill="background2"/>
            <w:tcMar/>
          </w:tcPr>
          <w:p w:rsidR="6E43591F" w:rsidP="3EA36D25" w:rsidRDefault="6E43591F" w14:paraId="7485CE02" w14:textId="6705061D">
            <w:pPr>
              <w:pStyle w:val="Normal"/>
              <w:bidi w:val="0"/>
              <w:jc w:val="center"/>
              <w:rPr>
                <w:b w:val="1"/>
                <w:bCs w:val="1"/>
                <w:noProof w:val="0"/>
                <w:lang w:val="en-US"/>
              </w:rPr>
            </w:pPr>
            <w:r w:rsidRPr="3EA36D25" w:rsidR="6E43591F">
              <w:rPr>
                <w:b w:val="1"/>
                <w:bCs w:val="1"/>
                <w:noProof w:val="0"/>
                <w:lang w:val="en-US"/>
              </w:rPr>
              <w:t>Last Name</w:t>
            </w:r>
          </w:p>
        </w:tc>
        <w:tc>
          <w:tcPr>
            <w:tcW w:w="420" w:type="dxa"/>
            <w:shd w:val="clear" w:color="auto" w:fill="E7E6E6" w:themeFill="background2"/>
            <w:tcMar/>
          </w:tcPr>
          <w:p w:rsidR="3EA36D25" w:rsidP="3EA36D25" w:rsidRDefault="3EA36D25" w14:paraId="1A1C1A9F" w14:textId="67214381">
            <w:pPr>
              <w:pStyle w:val="Normal"/>
              <w:bidi w:val="0"/>
              <w:jc w:val="center"/>
              <w:rPr>
                <w:b w:val="1"/>
                <w:bCs w:val="1"/>
                <w:noProof w:val="0"/>
                <w:sz w:val="18"/>
                <w:szCs w:val="18"/>
                <w:lang w:val="en-US"/>
              </w:rPr>
            </w:pPr>
          </w:p>
        </w:tc>
        <w:tc>
          <w:tcPr>
            <w:tcW w:w="3708" w:type="dxa"/>
            <w:shd w:val="clear" w:color="auto" w:fill="E7E6E6" w:themeFill="background2"/>
            <w:tcMar/>
          </w:tcPr>
          <w:p w:rsidR="6E43591F" w:rsidP="3EA36D25" w:rsidRDefault="6E43591F" w14:paraId="0092030E" w14:textId="3BF17ACA">
            <w:pPr>
              <w:pStyle w:val="Normal"/>
              <w:bidi w:val="0"/>
              <w:jc w:val="center"/>
              <w:rPr>
                <w:b w:val="1"/>
                <w:bCs w:val="1"/>
                <w:noProof w:val="0"/>
                <w:lang w:val="en-US"/>
              </w:rPr>
            </w:pPr>
            <w:r w:rsidRPr="3EA36D25" w:rsidR="6E43591F">
              <w:rPr>
                <w:b w:val="1"/>
                <w:bCs w:val="1"/>
                <w:noProof w:val="0"/>
                <w:lang w:val="en-US"/>
              </w:rPr>
              <w:t>Single Name Only</w:t>
            </w:r>
          </w:p>
        </w:tc>
      </w:tr>
      <w:tr w:rsidR="3EA36D25" w:rsidTr="3EA36D25" w14:paraId="6F4A1B7B">
        <w:trPr>
          <w:trHeight w:val="300"/>
        </w:trPr>
        <w:tc>
          <w:tcPr>
            <w:tcW w:w="1168" w:type="dxa"/>
            <w:tcMar/>
          </w:tcPr>
          <w:p w:rsidR="6E43591F" w:rsidP="3EA36D25" w:rsidRDefault="6E43591F" w14:paraId="493C0835" w14:textId="319423F0">
            <w:pPr>
              <w:pStyle w:val="Normal"/>
              <w:bidi w:val="0"/>
              <w:jc w:val="center"/>
              <w:rPr>
                <w:noProof w:val="0"/>
                <w:lang w:val="en-US"/>
              </w:rPr>
            </w:pPr>
            <w:r w:rsidRPr="3EA36D25" w:rsidR="6E43591F">
              <w:rPr>
                <w:noProof w:val="0"/>
                <w:lang w:val="en-US"/>
              </w:rPr>
              <w:t>(XGV)</w:t>
            </w:r>
          </w:p>
        </w:tc>
        <w:tc>
          <w:tcPr>
            <w:tcW w:w="1545" w:type="dxa"/>
            <w:tcMar/>
          </w:tcPr>
          <w:p w:rsidR="3EA36D25" w:rsidP="3EA36D25" w:rsidRDefault="3EA36D25" w14:paraId="4E73E3F1" w14:textId="3F303F39">
            <w:pPr>
              <w:pStyle w:val="Normal"/>
              <w:bidi w:val="0"/>
              <w:jc w:val="center"/>
              <w:rPr>
                <w:noProof w:val="0"/>
                <w:lang w:val="en-US"/>
              </w:rPr>
            </w:pPr>
          </w:p>
        </w:tc>
        <w:tc>
          <w:tcPr>
            <w:tcW w:w="2518" w:type="dxa"/>
            <w:tcMar/>
          </w:tcPr>
          <w:p w:rsidR="6E43591F" w:rsidP="3EA36D25" w:rsidRDefault="6E43591F" w14:paraId="566A320A" w14:textId="703E5DCF">
            <w:pPr>
              <w:pStyle w:val="Normal"/>
              <w:bidi w:val="0"/>
              <w:jc w:val="center"/>
              <w:rPr>
                <w:noProof w:val="0"/>
                <w:lang w:val="en-US"/>
              </w:rPr>
            </w:pPr>
            <w:r w:rsidRPr="3EA36D25" w:rsidR="6E43591F">
              <w:rPr>
                <w:noProof w:val="0"/>
                <w:lang w:val="en-US"/>
              </w:rPr>
              <w:t>Naperville Public Library</w:t>
            </w:r>
          </w:p>
        </w:tc>
        <w:tc>
          <w:tcPr>
            <w:tcW w:w="420" w:type="dxa"/>
            <w:tcMar/>
          </w:tcPr>
          <w:p w:rsidR="3EA36D25" w:rsidP="3EA36D25" w:rsidRDefault="3EA36D25" w14:paraId="54C55197" w14:textId="1C3CC901">
            <w:pPr>
              <w:pStyle w:val="Normal"/>
              <w:bidi w:val="0"/>
              <w:jc w:val="center"/>
              <w:rPr>
                <w:noProof w:val="0"/>
                <w:lang w:val="en-US"/>
              </w:rPr>
            </w:pPr>
          </w:p>
        </w:tc>
        <w:tc>
          <w:tcPr>
            <w:tcW w:w="3708" w:type="dxa"/>
            <w:tcMar/>
          </w:tcPr>
          <w:p w:rsidR="6E43591F" w:rsidP="3EA36D25" w:rsidRDefault="6E43591F" w14:paraId="3E6A7CE4" w14:textId="208BE7C2">
            <w:pPr>
              <w:pStyle w:val="Normal"/>
              <w:bidi w:val="0"/>
              <w:jc w:val="center"/>
              <w:rPr>
                <w:noProof w:val="0"/>
                <w:lang w:val="en-US"/>
              </w:rPr>
            </w:pPr>
            <w:r w:rsidRPr="3EA36D25" w:rsidR="6E43591F">
              <w:rPr>
                <w:noProof w:val="0"/>
                <w:lang w:val="en-US"/>
              </w:rPr>
              <w:t>(XGV) Naperville Public Library</w:t>
            </w:r>
          </w:p>
        </w:tc>
      </w:tr>
      <w:tr w:rsidR="3EA36D25" w:rsidTr="3EA36D25" w14:paraId="5AA2C65F">
        <w:trPr>
          <w:trHeight w:val="300"/>
        </w:trPr>
        <w:tc>
          <w:tcPr>
            <w:tcW w:w="1168" w:type="dxa"/>
            <w:tcMar/>
          </w:tcPr>
          <w:p w:rsidR="6894A4B2" w:rsidP="3EA36D25" w:rsidRDefault="6894A4B2" w14:paraId="72D0BF39" w14:textId="41D4E142">
            <w:pPr>
              <w:pStyle w:val="Normal"/>
              <w:bidi w:val="0"/>
              <w:jc w:val="center"/>
              <w:rPr>
                <w:noProof w:val="0"/>
                <w:lang w:val="en-US"/>
              </w:rPr>
            </w:pPr>
            <w:r w:rsidRPr="3EA36D25" w:rsidR="6894A4B2">
              <w:rPr>
                <w:noProof w:val="0"/>
                <w:lang w:val="en-US"/>
              </w:rPr>
              <w:t>(NWU)</w:t>
            </w:r>
          </w:p>
        </w:tc>
        <w:tc>
          <w:tcPr>
            <w:tcW w:w="1545" w:type="dxa"/>
            <w:tcMar/>
          </w:tcPr>
          <w:p w:rsidR="5787BACD" w:rsidP="3EA36D25" w:rsidRDefault="5787BACD" w14:paraId="4A25E5F1" w14:textId="220C142D">
            <w:pPr>
              <w:pStyle w:val="Normal"/>
              <w:bidi w:val="0"/>
              <w:jc w:val="center"/>
              <w:rPr>
                <w:noProof w:val="0"/>
                <w:lang w:val="en-US"/>
              </w:rPr>
            </w:pPr>
            <w:r w:rsidRPr="3EA36D25" w:rsidR="5787BACD">
              <w:rPr>
                <w:noProof w:val="0"/>
                <w:lang w:val="en-US"/>
              </w:rPr>
              <w:t>Pritzker Legal Research Center</w:t>
            </w:r>
          </w:p>
        </w:tc>
        <w:tc>
          <w:tcPr>
            <w:tcW w:w="2518" w:type="dxa"/>
            <w:tcMar/>
          </w:tcPr>
          <w:p w:rsidR="5787BACD" w:rsidP="3EA36D25" w:rsidRDefault="5787BACD" w14:paraId="268E4397" w14:textId="269D519F">
            <w:pPr>
              <w:pStyle w:val="Normal"/>
              <w:bidi w:val="0"/>
              <w:jc w:val="center"/>
              <w:rPr>
                <w:noProof w:val="0"/>
                <w:lang w:val="en-US"/>
              </w:rPr>
            </w:pPr>
            <w:r w:rsidRPr="3EA36D25" w:rsidR="5787BACD">
              <w:rPr>
                <w:noProof w:val="0"/>
                <w:lang w:val="en-US"/>
              </w:rPr>
              <w:t>Northwestern University</w:t>
            </w:r>
          </w:p>
        </w:tc>
        <w:tc>
          <w:tcPr>
            <w:tcW w:w="420" w:type="dxa"/>
            <w:tcMar/>
          </w:tcPr>
          <w:p w:rsidR="3EA36D25" w:rsidP="3EA36D25" w:rsidRDefault="3EA36D25" w14:paraId="23EF78A4" w14:textId="727D8BE2">
            <w:pPr>
              <w:pStyle w:val="Normal"/>
              <w:bidi w:val="0"/>
              <w:jc w:val="center"/>
              <w:rPr>
                <w:noProof w:val="0"/>
                <w:lang w:val="en-US"/>
              </w:rPr>
            </w:pPr>
          </w:p>
        </w:tc>
        <w:tc>
          <w:tcPr>
            <w:tcW w:w="3708" w:type="dxa"/>
            <w:tcMar/>
          </w:tcPr>
          <w:p w:rsidR="5787BACD" w:rsidP="3EA36D25" w:rsidRDefault="5787BACD" w14:paraId="74A19C6B" w14:textId="6EC39263">
            <w:pPr>
              <w:pStyle w:val="Normal"/>
              <w:bidi w:val="0"/>
              <w:jc w:val="center"/>
              <w:rPr>
                <w:noProof w:val="0"/>
                <w:lang w:val="en-US"/>
              </w:rPr>
            </w:pPr>
            <w:r w:rsidRPr="3EA36D25" w:rsidR="5787BACD">
              <w:rPr>
                <w:noProof w:val="0"/>
                <w:lang w:val="en-US"/>
              </w:rPr>
              <w:t>(NWU) Pritzker Legal Research Center Northwestern University</w:t>
            </w:r>
          </w:p>
        </w:tc>
      </w:tr>
      <w:tr w:rsidR="3EA36D25" w:rsidTr="3EA36D25" w14:paraId="39AEAC64">
        <w:trPr>
          <w:trHeight w:val="300"/>
        </w:trPr>
        <w:tc>
          <w:tcPr>
            <w:tcW w:w="1168" w:type="dxa"/>
            <w:tcMar/>
          </w:tcPr>
          <w:p w:rsidR="5787BACD" w:rsidP="3EA36D25" w:rsidRDefault="5787BACD" w14:paraId="079F6DAA" w14:textId="4A3DD232">
            <w:pPr>
              <w:pStyle w:val="Normal"/>
              <w:bidi w:val="0"/>
              <w:jc w:val="center"/>
              <w:rPr>
                <w:noProof w:val="0"/>
                <w:lang w:val="en-US"/>
              </w:rPr>
            </w:pPr>
            <w:r w:rsidRPr="3EA36D25" w:rsidR="5787BACD">
              <w:rPr>
                <w:noProof w:val="0"/>
                <w:lang w:val="en-US"/>
              </w:rPr>
              <w:t>(EIU)</w:t>
            </w:r>
          </w:p>
        </w:tc>
        <w:tc>
          <w:tcPr>
            <w:tcW w:w="1545" w:type="dxa"/>
            <w:tcMar/>
          </w:tcPr>
          <w:p w:rsidR="5787BACD" w:rsidP="3EA36D25" w:rsidRDefault="5787BACD" w14:paraId="4CCB35C1" w14:textId="3F0530CE">
            <w:pPr>
              <w:pStyle w:val="Normal"/>
              <w:bidi w:val="0"/>
              <w:jc w:val="center"/>
              <w:rPr>
                <w:noProof w:val="0"/>
                <w:lang w:val="en-US"/>
              </w:rPr>
            </w:pPr>
            <w:r w:rsidRPr="3EA36D25" w:rsidR="5787BACD">
              <w:rPr>
                <w:noProof w:val="0"/>
                <w:lang w:val="en-US"/>
              </w:rPr>
              <w:t>Booth Library</w:t>
            </w:r>
          </w:p>
        </w:tc>
        <w:tc>
          <w:tcPr>
            <w:tcW w:w="2518" w:type="dxa"/>
            <w:tcMar/>
          </w:tcPr>
          <w:p w:rsidR="5787BACD" w:rsidP="3EA36D25" w:rsidRDefault="5787BACD" w14:paraId="1901D1BA" w14:textId="3546DBAD">
            <w:pPr>
              <w:pStyle w:val="Normal"/>
              <w:bidi w:val="0"/>
              <w:jc w:val="center"/>
              <w:rPr>
                <w:noProof w:val="0"/>
                <w:lang w:val="en-US"/>
              </w:rPr>
            </w:pPr>
            <w:r w:rsidRPr="3EA36D25" w:rsidR="5787BACD">
              <w:rPr>
                <w:noProof w:val="0"/>
                <w:lang w:val="en-US"/>
              </w:rPr>
              <w:t xml:space="preserve">Eastern Illinois </w:t>
            </w:r>
            <w:r w:rsidRPr="3EA36D25" w:rsidR="5787BACD">
              <w:rPr>
                <w:noProof w:val="0"/>
                <w:lang w:val="en-US"/>
              </w:rPr>
              <w:t>University</w:t>
            </w:r>
          </w:p>
        </w:tc>
        <w:tc>
          <w:tcPr>
            <w:tcW w:w="420" w:type="dxa"/>
            <w:tcMar/>
          </w:tcPr>
          <w:p w:rsidR="3EA36D25" w:rsidP="3EA36D25" w:rsidRDefault="3EA36D25" w14:paraId="5B977BB5" w14:textId="59CE7C3B">
            <w:pPr>
              <w:pStyle w:val="Normal"/>
              <w:bidi w:val="0"/>
              <w:jc w:val="center"/>
              <w:rPr>
                <w:noProof w:val="0"/>
                <w:lang w:val="en-US"/>
              </w:rPr>
            </w:pPr>
          </w:p>
        </w:tc>
        <w:tc>
          <w:tcPr>
            <w:tcW w:w="3708" w:type="dxa"/>
            <w:tcMar/>
          </w:tcPr>
          <w:p w:rsidR="5787BACD" w:rsidP="3EA36D25" w:rsidRDefault="5787BACD" w14:paraId="6D8A3D6A" w14:textId="0EC5C21F">
            <w:pPr>
              <w:pStyle w:val="Normal"/>
              <w:bidi w:val="0"/>
              <w:jc w:val="center"/>
              <w:rPr>
                <w:noProof w:val="0"/>
                <w:lang w:val="en-US"/>
              </w:rPr>
            </w:pPr>
            <w:r w:rsidRPr="3EA36D25" w:rsidR="5787BACD">
              <w:rPr>
                <w:noProof w:val="0"/>
                <w:lang w:val="en-US"/>
              </w:rPr>
              <w:t>(EIU) Booth Library Eastern Illinois University</w:t>
            </w:r>
          </w:p>
        </w:tc>
      </w:tr>
    </w:tbl>
    <w:p w:rsidR="2DF28C0E" w:rsidP="3EA36D25" w:rsidRDefault="2DF28C0E" w14:paraId="3B6DDC26" w14:textId="10575D5A">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60ABB72C" w:rsidP="3EA36D25" w:rsidRDefault="60ABB72C" w14:paraId="35F9AFB6" w14:textId="7E21C0EB">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3EA36D25" w:rsidR="60ABB72C">
        <w:rPr>
          <w:rFonts w:ascii="Calibri" w:hAnsi="Calibri" w:eastAsia="Calibri" w:cs="Calibri"/>
          <w:noProof w:val="0"/>
          <w:sz w:val="22"/>
          <w:szCs w:val="22"/>
          <w:lang w:val="en-US"/>
        </w:rPr>
        <w:t>Test searching for</w:t>
      </w:r>
      <w:r w:rsidRPr="3EA36D25" w:rsidR="1F509C5E">
        <w:rPr>
          <w:rFonts w:ascii="Calibri" w:hAnsi="Calibri" w:eastAsia="Calibri" w:cs="Calibri"/>
          <w:noProof w:val="0"/>
          <w:sz w:val="22"/>
          <w:szCs w:val="22"/>
          <w:lang w:val="en-US"/>
        </w:rPr>
        <w:t xml:space="preserve"> and viewing</w:t>
      </w:r>
      <w:r w:rsidRPr="3EA36D25" w:rsidR="60ABB72C">
        <w:rPr>
          <w:rFonts w:ascii="Calibri" w:hAnsi="Calibri" w:eastAsia="Calibri" w:cs="Calibri"/>
          <w:noProof w:val="0"/>
          <w:sz w:val="22"/>
          <w:szCs w:val="22"/>
          <w:lang w:val="en-US"/>
        </w:rPr>
        <w:t xml:space="preserve"> the above example libraries in </w:t>
      </w:r>
      <w:hyperlink r:id="R3ff898b2813c4074">
        <w:r w:rsidRPr="3EA36D25" w:rsidR="60ABB72C">
          <w:rPr>
            <w:rStyle w:val="Hyperlink"/>
            <w:rFonts w:ascii="Calibri" w:hAnsi="Calibri" w:eastAsia="Calibri" w:cs="Calibri"/>
            <w:noProof w:val="0"/>
            <w:sz w:val="22"/>
            <w:szCs w:val="22"/>
            <w:lang w:val="en-US"/>
          </w:rPr>
          <w:t>training Leap</w:t>
        </w:r>
      </w:hyperlink>
      <w:r w:rsidRPr="3EA36D25" w:rsidR="35B47E41">
        <w:rPr>
          <w:rFonts w:ascii="Calibri" w:hAnsi="Calibri" w:eastAsia="Calibri" w:cs="Calibri"/>
          <w:noProof w:val="0"/>
          <w:sz w:val="22"/>
          <w:szCs w:val="22"/>
          <w:lang w:val="en-US"/>
        </w:rPr>
        <w:t xml:space="preserve"> and consider the following questions: </w:t>
      </w:r>
    </w:p>
    <w:p w:rsidR="4B45F085" w:rsidP="3EA36D25" w:rsidRDefault="4B45F085" w14:paraId="43813C27" w14:textId="6D116378">
      <w:pPr>
        <w:pStyle w:val="ListParagraph"/>
        <w:numPr>
          <w:ilvl w:val="0"/>
          <w:numId w:val="47"/>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4B45F085">
        <w:rPr>
          <w:rFonts w:ascii="Calibri" w:hAnsi="Calibri" w:eastAsia="Calibri" w:cs="Calibri"/>
          <w:noProof w:val="0"/>
          <w:sz w:val="22"/>
          <w:szCs w:val="22"/>
          <w:lang w:val="en-US"/>
        </w:rPr>
        <w:t xml:space="preserve">What is your experience like searching for single name only records? Is it easier than records with conventional names, more difficult, or no difference? </w:t>
      </w:r>
    </w:p>
    <w:p w:rsidR="4B45F085" w:rsidP="3EA36D25" w:rsidRDefault="4B45F085" w14:paraId="68262ABE" w14:textId="3B457826">
      <w:pPr>
        <w:pStyle w:val="ListParagraph"/>
        <w:numPr>
          <w:ilvl w:val="0"/>
          <w:numId w:val="47"/>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4B45F085">
        <w:rPr>
          <w:rFonts w:ascii="Calibri" w:hAnsi="Calibri" w:eastAsia="Calibri" w:cs="Calibri"/>
          <w:noProof w:val="0"/>
          <w:sz w:val="22"/>
          <w:szCs w:val="22"/>
          <w:lang w:val="en-US"/>
        </w:rPr>
        <w:t xml:space="preserve">Do you experience any difference viewing the records? </w:t>
      </w:r>
    </w:p>
    <w:p w:rsidR="4B45F085" w:rsidP="3EA36D25" w:rsidRDefault="4B45F085" w14:paraId="7C435762" w14:textId="042F8338">
      <w:pPr>
        <w:pStyle w:val="ListParagraph"/>
        <w:numPr>
          <w:ilvl w:val="0"/>
          <w:numId w:val="47"/>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4B45F085">
        <w:rPr>
          <w:rFonts w:ascii="Calibri" w:hAnsi="Calibri" w:eastAsia="Calibri" w:cs="Calibri"/>
          <w:noProof w:val="0"/>
          <w:sz w:val="22"/>
          <w:szCs w:val="22"/>
          <w:lang w:val="en-US"/>
        </w:rPr>
        <w:t xml:space="preserve">Would there be a benefit to enabling single name only for the ILL for Cooperative Computer Services branch? </w:t>
      </w:r>
    </w:p>
    <w:p w:rsidR="4B45F085" w:rsidP="3EA36D25" w:rsidRDefault="4B45F085" w14:paraId="1F0EDF8E" w14:textId="18EBDE45">
      <w:pPr>
        <w:pStyle w:val="ListParagraph"/>
        <w:numPr>
          <w:ilvl w:val="0"/>
          <w:numId w:val="47"/>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4B45F085">
        <w:rPr>
          <w:rFonts w:ascii="Calibri" w:hAnsi="Calibri" w:eastAsia="Calibri" w:cs="Calibri"/>
          <w:noProof w:val="0"/>
          <w:sz w:val="22"/>
          <w:szCs w:val="22"/>
          <w:lang w:val="en-US"/>
        </w:rPr>
        <w:t xml:space="preserve">Would there be a benefit to keeping </w:t>
      </w:r>
      <w:r w:rsidRPr="3EA36D25" w:rsidR="4B45F085">
        <w:rPr>
          <w:rFonts w:ascii="Calibri" w:hAnsi="Calibri" w:eastAsia="Calibri" w:cs="Calibri"/>
          <w:noProof w:val="0"/>
          <w:sz w:val="22"/>
          <w:szCs w:val="22"/>
          <w:lang w:val="en-US"/>
        </w:rPr>
        <w:t>required</w:t>
      </w:r>
      <w:r w:rsidRPr="3EA36D25" w:rsidR="4B45F085">
        <w:rPr>
          <w:rFonts w:ascii="Calibri" w:hAnsi="Calibri" w:eastAsia="Calibri" w:cs="Calibri"/>
          <w:noProof w:val="0"/>
          <w:sz w:val="22"/>
          <w:szCs w:val="22"/>
          <w:lang w:val="en-US"/>
        </w:rPr>
        <w:t xml:space="preserve"> first and last name fields for the ILL for Cooperative Computer Services branch?</w:t>
      </w:r>
    </w:p>
    <w:p w:rsidR="3EA36D25" w:rsidP="3EA36D25" w:rsidRDefault="3EA36D25" w14:paraId="1B8722E9" w14:textId="55FDF0C2">
      <w:pPr>
        <w:pStyle w:val="Normal"/>
        <w:bidi w:val="0"/>
        <w:spacing w:before="0" w:beforeAutospacing="off" w:after="160" w:afterAutospacing="off" w:line="259" w:lineRule="auto"/>
        <w:ind w:right="0"/>
        <w:jc w:val="left"/>
        <w:rPr>
          <w:rFonts w:ascii="Calibri" w:hAnsi="Calibri" w:eastAsia="Calibri" w:cs="Calibri"/>
          <w:noProof w:val="0"/>
          <w:sz w:val="22"/>
          <w:szCs w:val="22"/>
          <w:lang w:val="en-US"/>
        </w:rPr>
      </w:pPr>
    </w:p>
    <w:p w:rsidR="4EF6514C" w:rsidP="3EA36D25" w:rsidRDefault="4EF6514C" w14:paraId="540CA616" w14:textId="42734BFF">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US"/>
        </w:rPr>
      </w:pPr>
      <w:r w:rsidRPr="3EA36D25" w:rsidR="4EF6514C">
        <w:rPr>
          <w:rFonts w:ascii="Calibri Light" w:hAnsi="Calibri Light" w:eastAsia="Calibri Light" w:cs="Calibri Light"/>
          <w:b w:val="1"/>
          <w:bCs w:val="1"/>
          <w:i w:val="0"/>
          <w:iCs w:val="0"/>
          <w:caps w:val="0"/>
          <w:smallCaps w:val="0"/>
          <w:noProof w:val="0"/>
          <w:color w:val="1F3763"/>
          <w:sz w:val="24"/>
          <w:szCs w:val="24"/>
          <w:lang w:val="en-US"/>
        </w:rPr>
        <w:t>ACTION</w:t>
      </w:r>
    </w:p>
    <w:p w:rsidR="4EF6514C" w:rsidP="3EA36D25" w:rsidRDefault="4EF6514C" w14:paraId="00584633" w14:textId="577C98D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EF6514C">
        <w:rPr>
          <w:rFonts w:ascii="Calibri" w:hAnsi="Calibri" w:eastAsia="Calibri" w:cs="Calibri"/>
          <w:b w:val="1"/>
          <w:bCs w:val="1"/>
          <w:i w:val="0"/>
          <w:iCs w:val="0"/>
          <w:caps w:val="0"/>
          <w:smallCaps w:val="0"/>
          <w:noProof w:val="0"/>
          <w:color w:val="000000" w:themeColor="text1" w:themeTint="FF" w:themeShade="FF"/>
          <w:sz w:val="22"/>
          <w:szCs w:val="22"/>
          <w:lang w:val="en-US"/>
        </w:rPr>
        <w:t>Motion to enable single name only for the ILL for Cooperative Computer Services branch.</w:t>
      </w:r>
    </w:p>
    <w:p w:rsidR="493A114A" w:rsidP="3EA36D25" w:rsidRDefault="493A114A" w14:paraId="775CAD1A" w14:textId="7F5C27FB">
      <w:pPr>
        <w:pStyle w:val="Heading2"/>
        <w:bidi w:val="0"/>
        <w:rPr>
          <w:noProof w:val="0"/>
          <w:lang w:val="en-US"/>
        </w:rPr>
      </w:pPr>
      <w:r w:rsidRPr="3EA36D25" w:rsidR="493A114A">
        <w:rPr>
          <w:noProof w:val="0"/>
          <w:lang w:val="en-US"/>
        </w:rPr>
        <w:t xml:space="preserve">Enabling Single Name Only for All Other CCS </w:t>
      </w:r>
      <w:r w:rsidRPr="3EA36D25" w:rsidR="0811ACE2">
        <w:rPr>
          <w:noProof w:val="0"/>
          <w:lang w:val="en-US"/>
        </w:rPr>
        <w:t>Libraries</w:t>
      </w:r>
    </w:p>
    <w:p w:rsidR="493A114A" w:rsidP="3EA36D25" w:rsidRDefault="493A114A" w14:paraId="07DAEBC7" w14:textId="14FA5334">
      <w:pPr>
        <w:pStyle w:val="Normal"/>
        <w:bidi w:val="0"/>
        <w:rPr>
          <w:noProof w:val="0"/>
          <w:lang w:val="en-US"/>
        </w:rPr>
      </w:pPr>
      <w:r w:rsidRPr="3EA36D25" w:rsidR="493A114A">
        <w:rPr>
          <w:noProof w:val="0"/>
          <w:lang w:val="en-US"/>
        </w:rPr>
        <w:t xml:space="preserve">In addition to the ILL for </w:t>
      </w:r>
      <w:r w:rsidRPr="3EA36D25" w:rsidR="493A114A">
        <w:rPr>
          <w:noProof w:val="0"/>
          <w:lang w:val="en-US"/>
        </w:rPr>
        <w:t>Cooperative</w:t>
      </w:r>
      <w:r w:rsidRPr="3EA36D25" w:rsidR="493A114A">
        <w:rPr>
          <w:noProof w:val="0"/>
          <w:lang w:val="en-US"/>
        </w:rPr>
        <w:t xml:space="preserve"> Computer Services branch, the single name only setting can also be enabled for all other CCS branches. </w:t>
      </w:r>
      <w:r w:rsidRPr="3EA36D25" w:rsidR="66F5DB5C">
        <w:rPr>
          <w:noProof w:val="0"/>
          <w:lang w:val="en-US"/>
        </w:rPr>
        <w:t xml:space="preserve">If enabled, we would </w:t>
      </w:r>
      <w:r w:rsidRPr="3EA36D25" w:rsidR="66F5DB5C">
        <w:rPr>
          <w:noProof w:val="0"/>
          <w:lang w:val="en-US"/>
        </w:rPr>
        <w:t>enable for</w:t>
      </w:r>
      <w:r w:rsidRPr="3EA36D25" w:rsidR="66F5DB5C">
        <w:rPr>
          <w:noProof w:val="0"/>
          <w:lang w:val="en-US"/>
        </w:rPr>
        <w:t xml:space="preserve"> all CCS library </w:t>
      </w:r>
      <w:r w:rsidRPr="3EA36D25" w:rsidR="75FC3BFD">
        <w:rPr>
          <w:noProof w:val="0"/>
          <w:lang w:val="en-US"/>
        </w:rPr>
        <w:t>branches</w:t>
      </w:r>
      <w:r w:rsidRPr="3EA36D25" w:rsidR="66F5DB5C">
        <w:rPr>
          <w:noProof w:val="0"/>
          <w:lang w:val="en-US"/>
        </w:rPr>
        <w:t xml:space="preserve"> to adhere to </w:t>
      </w:r>
      <w:r w:rsidRPr="3EA36D25" w:rsidR="15F7C88B">
        <w:rPr>
          <w:noProof w:val="0"/>
          <w:lang w:val="en-US"/>
        </w:rPr>
        <w:t xml:space="preserve">a </w:t>
      </w:r>
      <w:r w:rsidRPr="3EA36D25" w:rsidR="66F5DB5C">
        <w:rPr>
          <w:noProof w:val="0"/>
          <w:lang w:val="en-US"/>
        </w:rPr>
        <w:t>consistent patron experience</w:t>
      </w:r>
      <w:r w:rsidRPr="3EA36D25" w:rsidR="772A2B08">
        <w:rPr>
          <w:noProof w:val="0"/>
          <w:lang w:val="en-US"/>
        </w:rPr>
        <w:t>.</w:t>
      </w:r>
    </w:p>
    <w:p w:rsidR="54CA265D" w:rsidP="3EA36D25" w:rsidRDefault="54CA265D" w14:paraId="75C25009" w14:textId="798C91BF">
      <w:pPr>
        <w:pStyle w:val="Normal"/>
        <w:bidi w:val="0"/>
        <w:rPr>
          <w:noProof w:val="0"/>
          <w:lang w:val="en-US"/>
        </w:rPr>
      </w:pPr>
      <w:r w:rsidRPr="3EA36D25" w:rsidR="54CA265D">
        <w:rPr>
          <w:noProof w:val="0"/>
          <w:lang w:val="en-US"/>
        </w:rPr>
        <w:t xml:space="preserve">Libraries may currently employ different practices for inputting </w:t>
      </w:r>
      <w:r w:rsidRPr="3EA36D25" w:rsidR="54CA265D">
        <w:rPr>
          <w:noProof w:val="0"/>
          <w:lang w:val="en-US"/>
        </w:rPr>
        <w:t>mononym</w:t>
      </w:r>
      <w:r w:rsidRPr="3EA36D25" w:rsidR="54CA265D">
        <w:rPr>
          <w:noProof w:val="0"/>
          <w:lang w:val="en-US"/>
        </w:rPr>
        <w:t xml:space="preserve"> and institutional names. A global update to single field names would not be </w:t>
      </w:r>
      <w:r w:rsidRPr="3EA36D25" w:rsidR="54CA265D">
        <w:rPr>
          <w:noProof w:val="0"/>
          <w:lang w:val="en-US"/>
        </w:rPr>
        <w:t>viable</w:t>
      </w:r>
      <w:r w:rsidRPr="3EA36D25" w:rsidR="54CA265D">
        <w:rPr>
          <w:noProof w:val="0"/>
          <w:lang w:val="en-US"/>
        </w:rPr>
        <w:t xml:space="preserve">. </w:t>
      </w:r>
      <w:r w:rsidRPr="3EA36D25" w:rsidR="5DD8B944">
        <w:rPr>
          <w:noProof w:val="0"/>
          <w:lang w:val="en-US"/>
        </w:rPr>
        <w:t xml:space="preserve">CCS would work individually with libraries to </w:t>
      </w:r>
      <w:r w:rsidRPr="3EA36D25" w:rsidR="5DD8B944">
        <w:rPr>
          <w:noProof w:val="0"/>
          <w:lang w:val="en-US"/>
        </w:rPr>
        <w:t>determine</w:t>
      </w:r>
      <w:r w:rsidRPr="3EA36D25" w:rsidR="5DD8B944">
        <w:rPr>
          <w:noProof w:val="0"/>
          <w:lang w:val="en-US"/>
        </w:rPr>
        <w:t xml:space="preserve"> options for bulk updates to name fields. </w:t>
      </w:r>
    </w:p>
    <w:p w:rsidR="5DD8B944" w:rsidP="3EA36D25" w:rsidRDefault="5DD8B944" w14:paraId="5CC7DB81" w14:textId="2421501D">
      <w:pPr>
        <w:pStyle w:val="Normal"/>
        <w:bidi w:val="0"/>
        <w:rPr>
          <w:noProof w:val="0"/>
          <w:lang w:val="en-US"/>
        </w:rPr>
      </w:pPr>
      <w:r w:rsidRPr="3EA36D25" w:rsidR="5DD8B944">
        <w:rPr>
          <w:noProof w:val="0"/>
          <w:lang w:val="en-US"/>
        </w:rPr>
        <w:t>Questions for discussion:</w:t>
      </w:r>
    </w:p>
    <w:p w:rsidR="21409059" w:rsidP="3EA36D25" w:rsidRDefault="21409059" w14:paraId="33052595" w14:textId="13673880">
      <w:pPr>
        <w:pStyle w:val="ListParagraph"/>
        <w:numPr>
          <w:ilvl w:val="0"/>
          <w:numId w:val="48"/>
        </w:numPr>
        <w:bidi w:val="0"/>
        <w:rPr>
          <w:rFonts w:ascii="Calibri" w:hAnsi="Calibri" w:eastAsia="Calibri" w:cs="Calibri"/>
          <w:noProof w:val="0"/>
          <w:sz w:val="22"/>
          <w:szCs w:val="22"/>
          <w:lang w:val="en-US"/>
        </w:rPr>
      </w:pPr>
      <w:r w:rsidRPr="3EA36D25" w:rsidR="21409059">
        <w:rPr>
          <w:rFonts w:ascii="Calibri" w:hAnsi="Calibri" w:eastAsia="Calibri" w:cs="Calibri"/>
          <w:noProof w:val="0"/>
          <w:sz w:val="22"/>
          <w:szCs w:val="22"/>
          <w:lang w:val="en-US"/>
        </w:rPr>
        <w:t xml:space="preserve">Would there be a benefit to enabling single name only for all other CCS </w:t>
      </w:r>
      <w:r w:rsidRPr="3EA36D25" w:rsidR="21409059">
        <w:rPr>
          <w:rFonts w:ascii="Calibri" w:hAnsi="Calibri" w:eastAsia="Calibri" w:cs="Calibri"/>
          <w:noProof w:val="0"/>
          <w:sz w:val="22"/>
          <w:szCs w:val="22"/>
          <w:lang w:val="en-US"/>
        </w:rPr>
        <w:t>libraries?</w:t>
      </w:r>
    </w:p>
    <w:p w:rsidR="21409059" w:rsidP="3EA36D25" w:rsidRDefault="21409059" w14:paraId="3BA9D34F" w14:textId="6E6BFE9E">
      <w:pPr>
        <w:pStyle w:val="ListParagraph"/>
        <w:numPr>
          <w:ilvl w:val="0"/>
          <w:numId w:val="48"/>
        </w:numPr>
        <w:bidi w:val="0"/>
        <w:spacing w:before="0" w:beforeAutospacing="off" w:after="160" w:afterAutospacing="off" w:line="259" w:lineRule="auto"/>
        <w:ind w:right="0"/>
        <w:jc w:val="left"/>
        <w:rPr>
          <w:rFonts w:ascii="Calibri" w:hAnsi="Calibri" w:eastAsia="Calibri" w:cs="Calibri"/>
          <w:noProof w:val="0"/>
          <w:sz w:val="22"/>
          <w:szCs w:val="22"/>
          <w:lang w:val="en-US"/>
        </w:rPr>
      </w:pPr>
      <w:r w:rsidRPr="3EA36D25" w:rsidR="21409059">
        <w:rPr>
          <w:rFonts w:ascii="Calibri" w:hAnsi="Calibri" w:eastAsia="Calibri" w:cs="Calibri"/>
          <w:noProof w:val="0"/>
          <w:sz w:val="22"/>
          <w:szCs w:val="22"/>
          <w:lang w:val="en-US"/>
        </w:rPr>
        <w:t xml:space="preserve">Would there be a benefit to keeping </w:t>
      </w:r>
      <w:r w:rsidRPr="3EA36D25" w:rsidR="21409059">
        <w:rPr>
          <w:rFonts w:ascii="Calibri" w:hAnsi="Calibri" w:eastAsia="Calibri" w:cs="Calibri"/>
          <w:noProof w:val="0"/>
          <w:sz w:val="22"/>
          <w:szCs w:val="22"/>
          <w:lang w:val="en-US"/>
        </w:rPr>
        <w:t>required</w:t>
      </w:r>
      <w:r w:rsidRPr="3EA36D25" w:rsidR="21409059">
        <w:rPr>
          <w:rFonts w:ascii="Calibri" w:hAnsi="Calibri" w:eastAsia="Calibri" w:cs="Calibri"/>
          <w:noProof w:val="0"/>
          <w:sz w:val="22"/>
          <w:szCs w:val="22"/>
          <w:lang w:val="en-US"/>
        </w:rPr>
        <w:t xml:space="preserve"> first and last name fields for </w:t>
      </w:r>
      <w:r w:rsidRPr="3EA36D25" w:rsidR="1990E5CE">
        <w:rPr>
          <w:rFonts w:ascii="Calibri" w:hAnsi="Calibri" w:eastAsia="Calibri" w:cs="Calibri"/>
          <w:noProof w:val="0"/>
          <w:sz w:val="22"/>
          <w:szCs w:val="22"/>
          <w:lang w:val="en-US"/>
        </w:rPr>
        <w:t>all other CCS libraries?</w:t>
      </w:r>
    </w:p>
    <w:p w:rsidR="1990E5CE" w:rsidP="3EA36D25" w:rsidRDefault="1990E5CE" w14:paraId="572F37F1" w14:textId="7DAD1EE0">
      <w:pPr>
        <w:pStyle w:val="ListParagraph"/>
        <w:numPr>
          <w:ilvl w:val="0"/>
          <w:numId w:val="48"/>
        </w:numPr>
        <w:bidi w:val="0"/>
        <w:rPr>
          <w:noProof w:val="0"/>
          <w:lang w:val="en-US"/>
        </w:rPr>
      </w:pPr>
      <w:r w:rsidRPr="3EA36D25" w:rsidR="1990E5CE">
        <w:rPr>
          <w:noProof w:val="0"/>
          <w:lang w:val="en-US"/>
        </w:rPr>
        <w:t xml:space="preserve">If enabled, should staff </w:t>
      </w:r>
      <w:r w:rsidRPr="3EA36D25" w:rsidR="1990E5CE">
        <w:rPr>
          <w:noProof w:val="0"/>
          <w:lang w:val="en-US"/>
        </w:rPr>
        <w:t>be required</w:t>
      </w:r>
      <w:r w:rsidRPr="3EA36D25" w:rsidR="1990E5CE">
        <w:rPr>
          <w:noProof w:val="0"/>
          <w:lang w:val="en-US"/>
        </w:rPr>
        <w:t xml:space="preserve"> to use the “Use Single Name Field” checkbox for patrons with a single name only? </w:t>
      </w:r>
    </w:p>
    <w:p w:rsidR="1990E5CE" w:rsidP="3EA36D25" w:rsidRDefault="1990E5CE" w14:paraId="153AD0DA" w14:textId="5598F283">
      <w:pPr>
        <w:pStyle w:val="Normal"/>
        <w:bidi w:val="0"/>
        <w:ind w:left="0"/>
        <w:rPr>
          <w:noProof w:val="0"/>
          <w:lang w:val="en-US"/>
        </w:rPr>
      </w:pPr>
      <w:r w:rsidRPr="3EA36D25" w:rsidR="1990E5CE">
        <w:rPr>
          <w:noProof w:val="0"/>
          <w:lang w:val="en-US"/>
        </w:rPr>
        <w:t xml:space="preserve"> </w:t>
      </w:r>
    </w:p>
    <w:p w:rsidR="3A6D976D" w:rsidP="3EA36D25" w:rsidRDefault="3A6D976D" w14:paraId="07385533" w14:textId="1154F4F5">
      <w:pPr>
        <w:pStyle w:val="Heading3"/>
        <w:keepNext w:val="1"/>
        <w:keepLines w:val="1"/>
        <w:spacing w:before="40" w:after="0" w:line="259" w:lineRule="auto"/>
        <w:rPr>
          <w:rFonts w:ascii="Calibri Light" w:hAnsi="Calibri Light" w:eastAsia="Calibri Light" w:cs="Calibri Light"/>
          <w:b w:val="0"/>
          <w:bCs w:val="0"/>
          <w:i w:val="0"/>
          <w:iCs w:val="0"/>
          <w:caps w:val="0"/>
          <w:smallCaps w:val="0"/>
          <w:noProof w:val="0"/>
          <w:color w:val="1F3763"/>
          <w:sz w:val="24"/>
          <w:szCs w:val="24"/>
          <w:lang w:val="en-US"/>
        </w:rPr>
      </w:pPr>
      <w:r w:rsidRPr="3EA36D25" w:rsidR="3A6D976D">
        <w:rPr>
          <w:rFonts w:ascii="Calibri Light" w:hAnsi="Calibri Light" w:eastAsia="Calibri Light" w:cs="Calibri Light"/>
          <w:b w:val="1"/>
          <w:bCs w:val="1"/>
          <w:i w:val="0"/>
          <w:iCs w:val="0"/>
          <w:caps w:val="0"/>
          <w:smallCaps w:val="0"/>
          <w:noProof w:val="0"/>
          <w:color w:val="1F3763"/>
          <w:sz w:val="24"/>
          <w:szCs w:val="24"/>
          <w:lang w:val="en-US"/>
        </w:rPr>
        <w:t>ACTION</w:t>
      </w:r>
    </w:p>
    <w:p w:rsidR="3A6D976D" w:rsidP="3EA36D25" w:rsidRDefault="3A6D976D" w14:paraId="2D6A3C63" w14:textId="3EE6B913">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3A6D976D">
        <w:rPr>
          <w:rFonts w:ascii="Calibri" w:hAnsi="Calibri" w:eastAsia="Calibri" w:cs="Calibri"/>
          <w:b w:val="1"/>
          <w:bCs w:val="1"/>
          <w:i w:val="0"/>
          <w:iCs w:val="0"/>
          <w:caps w:val="0"/>
          <w:smallCaps w:val="0"/>
          <w:noProof w:val="0"/>
          <w:color w:val="000000" w:themeColor="text1" w:themeTint="FF" w:themeShade="FF"/>
          <w:sz w:val="22"/>
          <w:szCs w:val="22"/>
          <w:lang w:val="en-US"/>
        </w:rPr>
        <w:t>Motion to enable single name only for all other CCS libraries.</w:t>
      </w:r>
    </w:p>
    <w:p w:rsidR="3EA36D25" w:rsidP="3EA36D25" w:rsidRDefault="3EA36D25" w14:paraId="06C5503A" w14:textId="1D2A88D3">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3EA36D25" w:rsidP="3EA36D25" w:rsidRDefault="3EA36D25" w14:paraId="0476A7B1" w14:textId="32D65D58">
      <w:pPr>
        <w:pStyle w:val="Normal"/>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p>
    <w:p w:rsidR="3A6D976D" w:rsidP="3EA36D25" w:rsidRDefault="3A6D976D" w14:paraId="2E51303D" w14:textId="213DB22E">
      <w:pPr>
        <w:pStyle w:val="Heading1"/>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3A6D976D">
        <w:rPr>
          <w:noProof w:val="0"/>
          <w:lang w:val="en-US"/>
        </w:rPr>
        <w:t xml:space="preserve">5d. </w:t>
      </w:r>
      <w:r w:rsidRPr="3EA36D25" w:rsidR="05B81B6C">
        <w:rPr>
          <w:noProof w:val="0"/>
          <w:lang w:val="en-US"/>
        </w:rPr>
        <w:t>MessageBee</w:t>
      </w:r>
      <w:r w:rsidRPr="3EA36D25" w:rsidR="05B81B6C">
        <w:rPr>
          <w:noProof w:val="0"/>
          <w:lang w:val="en-US"/>
        </w:rPr>
        <w:t xml:space="preserve"> Automated Non-Blocking Note for Bounces</w:t>
      </w:r>
    </w:p>
    <w:p w:rsidR="4D93217F" w:rsidP="3EA36D25" w:rsidRDefault="4D93217F" w14:paraId="454CEF1F" w14:textId="42C85745">
      <w:pPr>
        <w:pStyle w:val="Heading2"/>
        <w:rPr>
          <w:noProof w:val="0"/>
          <w:lang w:val="en-US"/>
        </w:rPr>
      </w:pPr>
      <w:r w:rsidRPr="3EA36D25" w:rsidR="4D93217F">
        <w:rPr>
          <w:noProof w:val="0"/>
          <w:lang w:val="en-US"/>
        </w:rPr>
        <w:t>Background</w:t>
      </w:r>
    </w:p>
    <w:p w:rsidR="4D93217F" w:rsidP="3EA36D25" w:rsidRDefault="4D93217F" w14:paraId="5709C8B8" w14:textId="6E715EC5">
      <w:pPr>
        <w:pStyle w:val="Normal"/>
        <w:rPr>
          <w:noProof w:val="0"/>
          <w:lang w:val="en-US"/>
        </w:rPr>
      </w:pPr>
      <w:r w:rsidRPr="3EA36D25" w:rsidR="4D93217F">
        <w:rPr>
          <w:noProof w:val="0"/>
          <w:lang w:val="en-US"/>
        </w:rPr>
        <w:t xml:space="preserve">CCS libraries began using </w:t>
      </w:r>
      <w:r w:rsidRPr="3EA36D25" w:rsidR="18A979D0">
        <w:rPr>
          <w:noProof w:val="0"/>
          <w:lang w:val="en-US"/>
        </w:rPr>
        <w:t xml:space="preserve">Unique’s </w:t>
      </w:r>
      <w:r w:rsidRPr="3EA36D25" w:rsidR="4D93217F">
        <w:rPr>
          <w:noProof w:val="0"/>
          <w:lang w:val="en-US"/>
        </w:rPr>
        <w:t>MessageBee</w:t>
      </w:r>
      <w:r w:rsidRPr="3EA36D25" w:rsidR="4D93217F">
        <w:rPr>
          <w:noProof w:val="0"/>
          <w:lang w:val="en-US"/>
        </w:rPr>
        <w:t xml:space="preserve"> text messaging services in August 2023. </w:t>
      </w:r>
      <w:r w:rsidRPr="3EA36D25" w:rsidR="72EF3CEE">
        <w:rPr>
          <w:noProof w:val="0"/>
          <w:lang w:val="en-US"/>
        </w:rPr>
        <w:t>MessageBee</w:t>
      </w:r>
      <w:r w:rsidRPr="3EA36D25" w:rsidR="72EF3CEE">
        <w:rPr>
          <w:noProof w:val="0"/>
          <w:lang w:val="en-US"/>
        </w:rPr>
        <w:t xml:space="preserve"> will track </w:t>
      </w:r>
      <w:r w:rsidRPr="3EA36D25" w:rsidR="31942220">
        <w:rPr>
          <w:noProof w:val="0"/>
          <w:lang w:val="en-US"/>
        </w:rPr>
        <w:t>bounce</w:t>
      </w:r>
      <w:r w:rsidRPr="3EA36D25" w:rsidR="3AA2B507">
        <w:rPr>
          <w:noProof w:val="0"/>
          <w:lang w:val="en-US"/>
        </w:rPr>
        <w:t>d notices</w:t>
      </w:r>
      <w:r w:rsidRPr="3EA36D25" w:rsidR="31942220">
        <w:rPr>
          <w:noProof w:val="0"/>
          <w:lang w:val="en-US"/>
        </w:rPr>
        <w:t xml:space="preserve">. Staff can view bounces through the </w:t>
      </w:r>
      <w:r w:rsidRPr="3EA36D25" w:rsidR="31942220">
        <w:rPr>
          <w:noProof w:val="0"/>
          <w:lang w:val="en-US"/>
        </w:rPr>
        <w:t>MessageBee</w:t>
      </w:r>
      <w:r w:rsidRPr="3EA36D25" w:rsidR="31942220">
        <w:rPr>
          <w:noProof w:val="0"/>
          <w:lang w:val="en-US"/>
        </w:rPr>
        <w:t xml:space="preserve"> portal or by setting up an emailed report.</w:t>
      </w:r>
      <w:r w:rsidRPr="3EA36D25" w:rsidR="2203FD37">
        <w:rPr>
          <w:noProof w:val="0"/>
          <w:lang w:val="en-US"/>
        </w:rPr>
        <w:t xml:space="preserve"> </w:t>
      </w:r>
    </w:p>
    <w:p w:rsidR="38C4A923" w:rsidP="3EA36D25" w:rsidRDefault="38C4A923" w14:paraId="24EA2DD6" w14:textId="4BF735E2">
      <w:pPr>
        <w:pStyle w:val="Normal"/>
        <w:rPr>
          <w:noProof w:val="0"/>
          <w:lang w:val="en-US"/>
        </w:rPr>
      </w:pPr>
      <w:r w:rsidRPr="3EA36D25" w:rsidR="38C4A923">
        <w:rPr>
          <w:noProof w:val="0"/>
          <w:lang w:val="en-US"/>
        </w:rPr>
        <w:t>CCS libraries have</w:t>
      </w:r>
      <w:r w:rsidRPr="3EA36D25" w:rsidR="7A1FC3F1">
        <w:rPr>
          <w:noProof w:val="0"/>
          <w:lang w:val="en-US"/>
        </w:rPr>
        <w:t xml:space="preserve"> </w:t>
      </w:r>
      <w:hyperlink w:anchor="Procedures-for-Managing-Undeliverable-Text-Message-Notices" r:id="R6fe2492fe7074b17">
        <w:r w:rsidRPr="3EA36D25" w:rsidR="7A1FC3F1">
          <w:rPr>
            <w:rStyle w:val="Hyperlink"/>
            <w:noProof w:val="0"/>
            <w:lang w:val="en-US"/>
          </w:rPr>
          <w:t>undeliverable message pro</w:t>
        </w:r>
        <w:r w:rsidRPr="3EA36D25" w:rsidR="0F61E807">
          <w:rPr>
            <w:rStyle w:val="Hyperlink"/>
            <w:noProof w:val="0"/>
            <w:lang w:val="en-US"/>
          </w:rPr>
          <w:t>cedures</w:t>
        </w:r>
      </w:hyperlink>
      <w:r w:rsidRPr="3EA36D25" w:rsidR="6FCB418E">
        <w:rPr>
          <w:noProof w:val="0"/>
          <w:lang w:val="en-US"/>
        </w:rPr>
        <w:t xml:space="preserve">, including bounced text notices. These procedures include </w:t>
      </w:r>
      <w:r w:rsidRPr="3EA36D25" w:rsidR="6B2093AE">
        <w:rPr>
          <w:noProof w:val="0"/>
          <w:lang w:val="en-US"/>
        </w:rPr>
        <w:t xml:space="preserve">adjusting the patron’s notice preference to email or phone and adding a non-blocking note. </w:t>
      </w:r>
    </w:p>
    <w:p w:rsidR="628FCDE0" w:rsidP="3EA36D25" w:rsidRDefault="628FCDE0" w14:paraId="0E2CE1A6" w14:textId="2E5D11D0">
      <w:pPr>
        <w:pStyle w:val="Normal"/>
        <w:rPr>
          <w:noProof w:val="0"/>
          <w:lang w:val="en-US"/>
        </w:rPr>
      </w:pPr>
      <w:r w:rsidRPr="3EA36D25" w:rsidR="628FCDE0">
        <w:rPr>
          <w:noProof w:val="0"/>
          <w:lang w:val="en-US"/>
        </w:rPr>
        <w:t>MessageBee</w:t>
      </w:r>
      <w:r w:rsidRPr="3EA36D25" w:rsidR="628FCDE0">
        <w:rPr>
          <w:noProof w:val="0"/>
          <w:lang w:val="en-US"/>
        </w:rPr>
        <w:t xml:space="preserve"> supports </w:t>
      </w:r>
      <w:r w:rsidRPr="3EA36D25" w:rsidR="628FCDE0">
        <w:rPr>
          <w:noProof w:val="0"/>
          <w:lang w:val="en-US"/>
        </w:rPr>
        <w:t>an option</w:t>
      </w:r>
      <w:r w:rsidRPr="3EA36D25" w:rsidR="628FCDE0">
        <w:rPr>
          <w:noProof w:val="0"/>
          <w:lang w:val="en-US"/>
        </w:rPr>
        <w:t xml:space="preserve"> to add a non-blocking note to the patron’s record if it detects a bounced message. The non-blocking note text wo</w:t>
      </w:r>
      <w:r w:rsidRPr="3EA36D25" w:rsidR="7B35E997">
        <w:rPr>
          <w:noProof w:val="0"/>
          <w:lang w:val="en-US"/>
        </w:rPr>
        <w:t xml:space="preserve">uld say: </w:t>
      </w:r>
      <w:r w:rsidRPr="3EA36D25" w:rsidR="628FCDE0">
        <w:rPr>
          <w:noProof w:val="0"/>
          <w:lang w:val="en-US"/>
        </w:rPr>
        <w:t xml:space="preserve"> </w:t>
      </w:r>
    </w:p>
    <w:p w:rsidR="628FCDE0" w:rsidP="3EA36D25" w:rsidRDefault="628FCDE0" w14:paraId="2A4CFFDF" w14:textId="3CE48D0A">
      <w:pPr>
        <w:pStyle w:val="Normal"/>
        <w:jc w:val="center"/>
        <w:rPr>
          <w:i w:val="1"/>
          <w:iCs w:val="1"/>
          <w:noProof w:val="0"/>
          <w:lang w:val="en-US"/>
        </w:rPr>
      </w:pPr>
      <w:r w:rsidRPr="3EA36D25" w:rsidR="628FCDE0">
        <w:rPr>
          <w:i w:val="1"/>
          <w:iCs w:val="1"/>
          <w:noProof w:val="0"/>
          <w:lang w:val="en-US"/>
        </w:rPr>
        <w:t>“[DATE] – Notification to [###-##</w:t>
      </w:r>
      <w:r w:rsidRPr="3EA36D25" w:rsidR="628FCDE0">
        <w:rPr>
          <w:i w:val="1"/>
          <w:iCs w:val="1"/>
          <w:noProof w:val="0"/>
          <w:lang w:val="en-US"/>
        </w:rPr>
        <w:t>#-</w:t>
      </w:r>
      <w:r w:rsidRPr="3EA36D25" w:rsidR="628FCDE0">
        <w:rPr>
          <w:i w:val="1"/>
          <w:iCs w:val="1"/>
          <w:noProof w:val="0"/>
          <w:lang w:val="en-US"/>
        </w:rPr>
        <w:t>####</w:t>
      </w:r>
      <w:r w:rsidRPr="3EA36D25" w:rsidR="72198826">
        <w:rPr>
          <w:i w:val="1"/>
          <w:iCs w:val="1"/>
          <w:noProof w:val="0"/>
          <w:lang w:val="en-US"/>
        </w:rPr>
        <w:t>]</w:t>
      </w:r>
      <w:r w:rsidRPr="3EA36D25" w:rsidR="628FCDE0">
        <w:rPr>
          <w:i w:val="1"/>
          <w:iCs w:val="1"/>
          <w:noProof w:val="0"/>
          <w:lang w:val="en-US"/>
        </w:rPr>
        <w:t xml:space="preserve"> bounced." </w:t>
      </w:r>
    </w:p>
    <w:p w:rsidR="628FCDE0" w:rsidP="3EA36D25" w:rsidRDefault="628FCDE0" w14:paraId="0A59E812" w14:textId="126BB363">
      <w:pPr>
        <w:pStyle w:val="Normal"/>
        <w:rPr>
          <w:noProof w:val="0"/>
          <w:lang w:val="en-US"/>
        </w:rPr>
      </w:pPr>
      <w:r w:rsidRPr="3EA36D25" w:rsidR="628FCDE0">
        <w:rPr>
          <w:noProof w:val="0"/>
          <w:lang w:val="en-US"/>
        </w:rPr>
        <w:t>The message text cannot be customized.</w:t>
      </w:r>
      <w:r w:rsidRPr="3EA36D25" w:rsidR="14DCB3FD">
        <w:rPr>
          <w:noProof w:val="0"/>
          <w:lang w:val="en-US"/>
        </w:rPr>
        <w:t xml:space="preserve"> </w:t>
      </w:r>
      <w:r w:rsidRPr="3EA36D25" w:rsidR="14DCB3FD">
        <w:rPr>
          <w:noProof w:val="0"/>
          <w:lang w:val="en-US"/>
        </w:rPr>
        <w:t>MessageBee</w:t>
      </w:r>
      <w:r w:rsidRPr="3EA36D25" w:rsidR="14DCB3FD">
        <w:rPr>
          <w:noProof w:val="0"/>
          <w:lang w:val="en-US"/>
        </w:rPr>
        <w:t xml:space="preserve"> would like </w:t>
      </w:r>
      <w:r w:rsidRPr="3EA36D25" w:rsidR="14DCB3FD">
        <w:rPr>
          <w:noProof w:val="0"/>
          <w:lang w:val="en-US"/>
        </w:rPr>
        <w:t>direction</w:t>
      </w:r>
      <w:r w:rsidRPr="3EA36D25" w:rsidR="14DCB3FD">
        <w:rPr>
          <w:noProof w:val="0"/>
          <w:lang w:val="en-US"/>
        </w:rPr>
        <w:t xml:space="preserve"> on if this </w:t>
      </w:r>
      <w:r w:rsidRPr="3EA36D25" w:rsidR="14DCB3FD">
        <w:rPr>
          <w:noProof w:val="0"/>
          <w:lang w:val="en-US"/>
        </w:rPr>
        <w:t>option</w:t>
      </w:r>
      <w:r w:rsidRPr="3EA36D25" w:rsidR="14DCB3FD">
        <w:rPr>
          <w:noProof w:val="0"/>
          <w:lang w:val="en-US"/>
        </w:rPr>
        <w:t xml:space="preserve"> should be activated.</w:t>
      </w:r>
    </w:p>
    <w:p w:rsidR="14DCB3FD" w:rsidP="3EA36D25" w:rsidRDefault="14DCB3FD" w14:paraId="3A62B240" w14:textId="2DF93B34">
      <w:pPr>
        <w:pStyle w:val="Normal"/>
        <w:rPr>
          <w:noProof w:val="0"/>
          <w:lang w:val="en-US"/>
        </w:rPr>
      </w:pPr>
      <w:r w:rsidRPr="3EA36D25" w:rsidR="14DCB3FD">
        <w:rPr>
          <w:noProof w:val="0"/>
          <w:lang w:val="en-US"/>
        </w:rPr>
        <w:t xml:space="preserve">Questions for </w:t>
      </w:r>
      <w:r w:rsidRPr="3EA36D25" w:rsidR="14DCB3FD">
        <w:rPr>
          <w:noProof w:val="0"/>
          <w:lang w:val="en-US"/>
        </w:rPr>
        <w:t xml:space="preserve">discussion: </w:t>
      </w:r>
    </w:p>
    <w:p w:rsidR="23B4065C" w:rsidP="3EA36D25" w:rsidRDefault="23B4065C" w14:paraId="7ED1C8B2" w14:textId="779ABBB1">
      <w:pPr>
        <w:pStyle w:val="ListParagraph"/>
        <w:numPr>
          <w:ilvl w:val="0"/>
          <w:numId w:val="50"/>
        </w:numPr>
        <w:rPr>
          <w:noProof w:val="0"/>
          <w:lang w:val="en-US"/>
        </w:rPr>
      </w:pPr>
      <w:r w:rsidRPr="3EA36D25" w:rsidR="23B4065C">
        <w:rPr>
          <w:noProof w:val="0"/>
          <w:lang w:val="en-US"/>
        </w:rPr>
        <w:t>Would automatically adding a non-blocking note benefit staff?</w:t>
      </w:r>
    </w:p>
    <w:p w:rsidR="48CBC5F2" w:rsidP="3EA36D25" w:rsidRDefault="48CBC5F2" w14:paraId="7570C67B" w14:textId="4CC6995B">
      <w:pPr>
        <w:pStyle w:val="ListParagraph"/>
        <w:numPr>
          <w:ilvl w:val="0"/>
          <w:numId w:val="50"/>
        </w:numPr>
        <w:rPr>
          <w:noProof w:val="0"/>
          <w:lang w:val="en-US"/>
        </w:rPr>
      </w:pPr>
      <w:r w:rsidRPr="3EA36D25" w:rsidR="48CBC5F2">
        <w:rPr>
          <w:noProof w:val="0"/>
          <w:lang w:val="en-US"/>
        </w:rPr>
        <w:t xml:space="preserve">Would there be benefits to manually adding a non-blocking note? </w:t>
      </w:r>
    </w:p>
    <w:p w:rsidR="48CBC5F2" w:rsidP="3EA36D25" w:rsidRDefault="48CBC5F2" w14:paraId="3CB06DFF" w14:textId="3601BF67">
      <w:pPr>
        <w:pStyle w:val="Heading3"/>
        <w:rPr>
          <w:rFonts w:ascii="Calibri Light" w:hAnsi="Calibri Light" w:eastAsia="Calibri Light" w:cs="Calibri Light"/>
          <w:b w:val="0"/>
          <w:bCs w:val="0"/>
          <w:i w:val="0"/>
          <w:iCs w:val="0"/>
          <w:caps w:val="0"/>
          <w:smallCaps w:val="0"/>
          <w:noProof w:val="0"/>
          <w:color w:val="1F3763"/>
          <w:sz w:val="24"/>
          <w:szCs w:val="24"/>
          <w:lang w:val="en-US"/>
        </w:rPr>
      </w:pPr>
      <w:r w:rsidRPr="3EA36D25" w:rsidR="48CBC5F2">
        <w:rPr>
          <w:rFonts w:ascii="Calibri Light" w:hAnsi="Calibri Light" w:eastAsia="Calibri Light" w:cs="Calibri Light"/>
          <w:b w:val="1"/>
          <w:bCs w:val="1"/>
          <w:i w:val="0"/>
          <w:iCs w:val="0"/>
          <w:caps w:val="0"/>
          <w:smallCaps w:val="0"/>
          <w:noProof w:val="0"/>
          <w:color w:val="1F3763"/>
          <w:sz w:val="24"/>
          <w:szCs w:val="24"/>
          <w:lang w:val="en-US"/>
        </w:rPr>
        <w:t>ACTION</w:t>
      </w:r>
    </w:p>
    <w:p w:rsidR="48CBC5F2" w:rsidP="3EA36D25" w:rsidRDefault="48CBC5F2" w14:paraId="7BEFBCDF" w14:textId="00DFB8CC">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EA36D25" w:rsidR="48CBC5F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Motion to enable the </w:t>
      </w:r>
      <w:r w:rsidRPr="3EA36D25" w:rsidR="48CBC5F2">
        <w:rPr>
          <w:rFonts w:ascii="Calibri" w:hAnsi="Calibri" w:eastAsia="Calibri" w:cs="Calibri"/>
          <w:b w:val="1"/>
          <w:bCs w:val="1"/>
          <w:i w:val="0"/>
          <w:iCs w:val="0"/>
          <w:caps w:val="0"/>
          <w:smallCaps w:val="0"/>
          <w:noProof w:val="0"/>
          <w:color w:val="000000" w:themeColor="text1" w:themeTint="FF" w:themeShade="FF"/>
          <w:sz w:val="22"/>
          <w:szCs w:val="22"/>
          <w:lang w:val="en-US"/>
        </w:rPr>
        <w:t>MessageBee</w:t>
      </w:r>
      <w:r w:rsidRPr="3EA36D25" w:rsidR="48CBC5F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non-blocking note.</w:t>
      </w:r>
    </w:p>
    <w:p w:rsidR="3EA36D25" w:rsidP="3EA36D25" w:rsidRDefault="3EA36D25" w14:paraId="4E2ED055" w14:textId="7F6D0FC9">
      <w:pPr>
        <w:pStyle w:val="Normal"/>
        <w:rPr>
          <w:noProof w:val="0"/>
          <w:lang w:val="en-US"/>
        </w:rPr>
      </w:pPr>
    </w:p>
    <w:p w:rsidR="3EA36D25" w:rsidP="3EA36D25" w:rsidRDefault="3EA36D25" w14:paraId="11D21735" w14:textId="16ACADF9">
      <w:pPr>
        <w:pStyle w:val="Normal"/>
        <w:bidi w:val="0"/>
        <w:spacing w:before="0" w:beforeAutospacing="off" w:after="160" w:afterAutospacing="off" w:line="259" w:lineRule="auto"/>
        <w:ind w:right="0"/>
        <w:jc w:val="left"/>
        <w:rPr>
          <w:rFonts w:ascii="Calibri" w:hAnsi="Calibri" w:eastAsia="Calibri" w:cs="Calibri"/>
          <w:noProof w:val="0"/>
          <w:sz w:val="22"/>
          <w:szCs w:val="22"/>
          <w:lang w:val="en-US"/>
        </w:rPr>
      </w:pPr>
    </w:p>
    <w:p w:rsidR="667D9899" w:rsidP="667D9899" w:rsidRDefault="667D9899" w14:paraId="4042579F" w14:textId="24517384">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00caef1393174473"/>
      <w:footerReference w:type="default" r:id="R021818deea89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EA36D25" w:rsidTr="3EA36D25" w14:paraId="74FF3A06">
      <w:trPr>
        <w:trHeight w:val="300"/>
      </w:trPr>
      <w:tc>
        <w:tcPr>
          <w:tcW w:w="3120" w:type="dxa"/>
          <w:tcMar/>
        </w:tcPr>
        <w:p w:rsidR="3EA36D25" w:rsidP="3EA36D25" w:rsidRDefault="3EA36D25" w14:paraId="217A809B" w14:textId="27CFCFE5">
          <w:pPr>
            <w:pStyle w:val="Header"/>
            <w:bidi w:val="0"/>
            <w:ind w:left="-115"/>
            <w:jc w:val="left"/>
          </w:pPr>
        </w:p>
      </w:tc>
      <w:tc>
        <w:tcPr>
          <w:tcW w:w="3120" w:type="dxa"/>
          <w:tcMar/>
        </w:tcPr>
        <w:p w:rsidR="3EA36D25" w:rsidP="3EA36D25" w:rsidRDefault="3EA36D25" w14:paraId="3EDC003D" w14:textId="3C7CAD0A">
          <w:pPr>
            <w:pStyle w:val="Header"/>
            <w:bidi w:val="0"/>
            <w:jc w:val="center"/>
          </w:pPr>
        </w:p>
      </w:tc>
      <w:tc>
        <w:tcPr>
          <w:tcW w:w="3120" w:type="dxa"/>
          <w:tcMar/>
        </w:tcPr>
        <w:p w:rsidR="3EA36D25" w:rsidP="3EA36D25" w:rsidRDefault="3EA36D25" w14:paraId="1A8044E4" w14:textId="42457F1F">
          <w:pPr>
            <w:pStyle w:val="Header"/>
            <w:bidi w:val="0"/>
            <w:ind w:right="-115"/>
            <w:jc w:val="right"/>
          </w:pPr>
        </w:p>
      </w:tc>
    </w:tr>
  </w:tbl>
  <w:p w:rsidR="3EA36D25" w:rsidP="3EA36D25" w:rsidRDefault="3EA36D25" w14:paraId="355CE7D0" w14:textId="365D29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EA36D25" w:rsidTr="3EA36D25" w14:paraId="6A679CA9">
      <w:trPr>
        <w:trHeight w:val="300"/>
      </w:trPr>
      <w:tc>
        <w:tcPr>
          <w:tcW w:w="3120" w:type="dxa"/>
          <w:tcMar/>
        </w:tcPr>
        <w:p w:rsidR="3EA36D25" w:rsidP="3EA36D25" w:rsidRDefault="3EA36D25" w14:paraId="6073A194" w14:textId="36FAE57A">
          <w:pPr>
            <w:pStyle w:val="Header"/>
            <w:bidi w:val="0"/>
            <w:ind w:left="-115"/>
            <w:jc w:val="left"/>
          </w:pPr>
        </w:p>
      </w:tc>
      <w:tc>
        <w:tcPr>
          <w:tcW w:w="3120" w:type="dxa"/>
          <w:tcMar/>
        </w:tcPr>
        <w:p w:rsidR="3EA36D25" w:rsidP="3EA36D25" w:rsidRDefault="3EA36D25" w14:paraId="356BA5B6" w14:textId="2F9F9487">
          <w:pPr>
            <w:pStyle w:val="Header"/>
            <w:bidi w:val="0"/>
            <w:jc w:val="center"/>
          </w:pPr>
        </w:p>
      </w:tc>
      <w:tc>
        <w:tcPr>
          <w:tcW w:w="3120" w:type="dxa"/>
          <w:tcMar/>
        </w:tcPr>
        <w:p w:rsidR="3EA36D25" w:rsidP="3EA36D25" w:rsidRDefault="3EA36D25" w14:paraId="26CA9F15" w14:textId="074DC8D0">
          <w:pPr>
            <w:pStyle w:val="Header"/>
            <w:bidi w:val="0"/>
            <w:ind w:right="-115"/>
            <w:jc w:val="right"/>
          </w:pPr>
          <w:r>
            <w:fldChar w:fldCharType="begin"/>
          </w:r>
          <w:r>
            <w:instrText xml:space="preserve">PAGE</w:instrText>
          </w:r>
          <w:r>
            <w:fldChar w:fldCharType="separate"/>
          </w:r>
          <w:r>
            <w:fldChar w:fldCharType="end"/>
          </w:r>
        </w:p>
      </w:tc>
    </w:tr>
  </w:tbl>
  <w:p w:rsidR="3EA36D25" w:rsidP="3EA36D25" w:rsidRDefault="3EA36D25" w14:paraId="21538A09" w14:textId="6F58F747">
    <w:pPr>
      <w:pStyle w:val="Header"/>
      <w:bidi w:val="0"/>
    </w:pPr>
  </w:p>
</w:hdr>
</file>

<file path=word/intelligence2.xml><?xml version="1.0" encoding="utf-8"?>
<int2:intelligence xmlns:int2="http://schemas.microsoft.com/office/intelligence/2020/intelligence">
  <int2:observations>
    <int2:textHash int2:hashCode="WZzooikwshOA8y" int2:id="MakPhLtx">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0">
    <w:nsid w:val="376c54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f218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0c683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ecdbc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c3774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3bf0d7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8763e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55b2f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bfb30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5a5eb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3817c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4f69a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41c89cd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37d9c2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c33f08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927541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89002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2938b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c50e0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a22c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c5d2e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262fd2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a1cc17d"/>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faa9e9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3cf823a"/>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28f7c5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044adb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6dcb18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7c0f5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dde6e80"/>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6bf2b6f"/>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8224ff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a846f4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bd1b73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eab899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7bd2d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afe5867"/>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732f99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e75cc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ffab30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e0dec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1e0aaa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c37b8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fd81332"/>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f6e01f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a07b0f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bdef29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e1baf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9bcc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ce82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80074F"/>
    <w:rsid w:val="00661845"/>
    <w:rsid w:val="00B2597D"/>
    <w:rsid w:val="00D026B7"/>
    <w:rsid w:val="0124CD4F"/>
    <w:rsid w:val="0149A718"/>
    <w:rsid w:val="01606794"/>
    <w:rsid w:val="01A025B3"/>
    <w:rsid w:val="01AB6AD4"/>
    <w:rsid w:val="01C3C6F6"/>
    <w:rsid w:val="01D935EF"/>
    <w:rsid w:val="0206E266"/>
    <w:rsid w:val="026BF718"/>
    <w:rsid w:val="02D15ED0"/>
    <w:rsid w:val="02FC37F5"/>
    <w:rsid w:val="031BF20C"/>
    <w:rsid w:val="0358521E"/>
    <w:rsid w:val="035BDDF3"/>
    <w:rsid w:val="035F5EF0"/>
    <w:rsid w:val="03BD72E9"/>
    <w:rsid w:val="04398216"/>
    <w:rsid w:val="044FA0E6"/>
    <w:rsid w:val="04F4227F"/>
    <w:rsid w:val="04FF9BDA"/>
    <w:rsid w:val="053E8328"/>
    <w:rsid w:val="05A41D73"/>
    <w:rsid w:val="05B81B6C"/>
    <w:rsid w:val="06093E3E"/>
    <w:rsid w:val="069B6C3B"/>
    <w:rsid w:val="06AAD316"/>
    <w:rsid w:val="07030388"/>
    <w:rsid w:val="0734A01A"/>
    <w:rsid w:val="073D441C"/>
    <w:rsid w:val="0769EB82"/>
    <w:rsid w:val="07B14035"/>
    <w:rsid w:val="0811ACE2"/>
    <w:rsid w:val="082F4F16"/>
    <w:rsid w:val="083DCA0A"/>
    <w:rsid w:val="08679FC5"/>
    <w:rsid w:val="093B90A0"/>
    <w:rsid w:val="09407FC8"/>
    <w:rsid w:val="0955F940"/>
    <w:rsid w:val="0A74E4DE"/>
    <w:rsid w:val="0ADC5029"/>
    <w:rsid w:val="0AF1C9A1"/>
    <w:rsid w:val="0AF5C973"/>
    <w:rsid w:val="0B0F6453"/>
    <w:rsid w:val="0B62C851"/>
    <w:rsid w:val="0B66EFD8"/>
    <w:rsid w:val="0C469249"/>
    <w:rsid w:val="0C65AC18"/>
    <w:rsid w:val="0CD28187"/>
    <w:rsid w:val="0CD474C2"/>
    <w:rsid w:val="0D36ABDE"/>
    <w:rsid w:val="0DD10847"/>
    <w:rsid w:val="0E1C1047"/>
    <w:rsid w:val="0E296A63"/>
    <w:rsid w:val="0EEA461F"/>
    <w:rsid w:val="0F0E6C0A"/>
    <w:rsid w:val="0F61E807"/>
    <w:rsid w:val="0F8C1E00"/>
    <w:rsid w:val="1017DA0E"/>
    <w:rsid w:val="102A787B"/>
    <w:rsid w:val="1060930D"/>
    <w:rsid w:val="10633003"/>
    <w:rsid w:val="1077F36D"/>
    <w:rsid w:val="1080074F"/>
    <w:rsid w:val="10E5A765"/>
    <w:rsid w:val="10F72B38"/>
    <w:rsid w:val="116E21BC"/>
    <w:rsid w:val="1173051E"/>
    <w:rsid w:val="117E78E4"/>
    <w:rsid w:val="119BD2F3"/>
    <w:rsid w:val="11DE1EE2"/>
    <w:rsid w:val="122EB40C"/>
    <w:rsid w:val="1282A07B"/>
    <w:rsid w:val="129DFE7F"/>
    <w:rsid w:val="131A4945"/>
    <w:rsid w:val="13380B93"/>
    <w:rsid w:val="133C3EF8"/>
    <w:rsid w:val="1362AF4E"/>
    <w:rsid w:val="1425D8C9"/>
    <w:rsid w:val="142AAFF0"/>
    <w:rsid w:val="142F462D"/>
    <w:rsid w:val="147BD077"/>
    <w:rsid w:val="147BD077"/>
    <w:rsid w:val="14A94F46"/>
    <w:rsid w:val="14DCB3FD"/>
    <w:rsid w:val="15258578"/>
    <w:rsid w:val="153B4655"/>
    <w:rsid w:val="15B91888"/>
    <w:rsid w:val="15EC9737"/>
    <w:rsid w:val="15F7C88B"/>
    <w:rsid w:val="16451FA7"/>
    <w:rsid w:val="1657C6F3"/>
    <w:rsid w:val="170C7EA2"/>
    <w:rsid w:val="171324FB"/>
    <w:rsid w:val="1756119E"/>
    <w:rsid w:val="17A1AAD4"/>
    <w:rsid w:val="17A552F8"/>
    <w:rsid w:val="17E0F008"/>
    <w:rsid w:val="17F39754"/>
    <w:rsid w:val="18090CF6"/>
    <w:rsid w:val="1850D94C"/>
    <w:rsid w:val="1879525F"/>
    <w:rsid w:val="189F6EDF"/>
    <w:rsid w:val="18A979D0"/>
    <w:rsid w:val="18CBECBD"/>
    <w:rsid w:val="18D10A8A"/>
    <w:rsid w:val="18F1E1FF"/>
    <w:rsid w:val="192437F9"/>
    <w:rsid w:val="1937A7E3"/>
    <w:rsid w:val="1976C845"/>
    <w:rsid w:val="19898AC9"/>
    <w:rsid w:val="198F3573"/>
    <w:rsid w:val="1990E5CE"/>
    <w:rsid w:val="19ADE8DD"/>
    <w:rsid w:val="19EE8CBD"/>
    <w:rsid w:val="1A1522C0"/>
    <w:rsid w:val="1A313E28"/>
    <w:rsid w:val="1A8C89AB"/>
    <w:rsid w:val="1A984102"/>
    <w:rsid w:val="1A9E87B1"/>
    <w:rsid w:val="1B284DF5"/>
    <w:rsid w:val="1B56BB5E"/>
    <w:rsid w:val="1B850128"/>
    <w:rsid w:val="1BAAF6C3"/>
    <w:rsid w:val="1C285A0C"/>
    <w:rsid w:val="1C418269"/>
    <w:rsid w:val="1C5C4D12"/>
    <w:rsid w:val="1D868CD6"/>
    <w:rsid w:val="1DA2C4B0"/>
    <w:rsid w:val="1DC42A6D"/>
    <w:rsid w:val="1EF40EB7"/>
    <w:rsid w:val="1F509C5E"/>
    <w:rsid w:val="1F6DEB81"/>
    <w:rsid w:val="2026A06A"/>
    <w:rsid w:val="2045570A"/>
    <w:rsid w:val="2062CE2F"/>
    <w:rsid w:val="20A07FAC"/>
    <w:rsid w:val="21409059"/>
    <w:rsid w:val="216A5F66"/>
    <w:rsid w:val="2203FD37"/>
    <w:rsid w:val="220F1EEA"/>
    <w:rsid w:val="225B4E1E"/>
    <w:rsid w:val="236DE0A0"/>
    <w:rsid w:val="23AE4A1A"/>
    <w:rsid w:val="23B4065C"/>
    <w:rsid w:val="23D33146"/>
    <w:rsid w:val="24157E37"/>
    <w:rsid w:val="2541EF35"/>
    <w:rsid w:val="254A1A7B"/>
    <w:rsid w:val="254CF64B"/>
    <w:rsid w:val="25896A47"/>
    <w:rsid w:val="25C8C321"/>
    <w:rsid w:val="25F9B55E"/>
    <w:rsid w:val="25FB04A9"/>
    <w:rsid w:val="2632657B"/>
    <w:rsid w:val="269B7031"/>
    <w:rsid w:val="2713FFED"/>
    <w:rsid w:val="27656DCA"/>
    <w:rsid w:val="27C017A3"/>
    <w:rsid w:val="28069A0F"/>
    <w:rsid w:val="28069A0F"/>
    <w:rsid w:val="283F6AFB"/>
    <w:rsid w:val="287C7E68"/>
    <w:rsid w:val="28981BA4"/>
    <w:rsid w:val="28A2DE83"/>
    <w:rsid w:val="28EAD6C5"/>
    <w:rsid w:val="2900E681"/>
    <w:rsid w:val="2916CAED"/>
    <w:rsid w:val="291A3227"/>
    <w:rsid w:val="29E2A05F"/>
    <w:rsid w:val="29F56AF1"/>
    <w:rsid w:val="2A966451"/>
    <w:rsid w:val="2B47CA9D"/>
    <w:rsid w:val="2B4FFEAE"/>
    <w:rsid w:val="2B51B82C"/>
    <w:rsid w:val="2B678B22"/>
    <w:rsid w:val="2B85D8AD"/>
    <w:rsid w:val="2C04B6DD"/>
    <w:rsid w:val="2C67D2DD"/>
    <w:rsid w:val="2D814F52"/>
    <w:rsid w:val="2DF28C0E"/>
    <w:rsid w:val="2E06344B"/>
    <w:rsid w:val="2E118FE9"/>
    <w:rsid w:val="2E276482"/>
    <w:rsid w:val="2EB61182"/>
    <w:rsid w:val="2ECF39DF"/>
    <w:rsid w:val="2ECFA91E"/>
    <w:rsid w:val="2FE4CD17"/>
    <w:rsid w:val="3004CE58"/>
    <w:rsid w:val="303FF592"/>
    <w:rsid w:val="30724D05"/>
    <w:rsid w:val="30845842"/>
    <w:rsid w:val="3094C80B"/>
    <w:rsid w:val="313262F0"/>
    <w:rsid w:val="31942220"/>
    <w:rsid w:val="31EC898F"/>
    <w:rsid w:val="326FDAD5"/>
    <w:rsid w:val="327EF137"/>
    <w:rsid w:val="32D115E4"/>
    <w:rsid w:val="33F98930"/>
    <w:rsid w:val="340BAB36"/>
    <w:rsid w:val="34212B6F"/>
    <w:rsid w:val="3443DFF0"/>
    <w:rsid w:val="34995040"/>
    <w:rsid w:val="35255306"/>
    <w:rsid w:val="35749460"/>
    <w:rsid w:val="358EE35B"/>
    <w:rsid w:val="35B43ACB"/>
    <w:rsid w:val="35B47E41"/>
    <w:rsid w:val="3664AF2F"/>
    <w:rsid w:val="36B67455"/>
    <w:rsid w:val="385BCB13"/>
    <w:rsid w:val="38C4A923"/>
    <w:rsid w:val="38E1DA0E"/>
    <w:rsid w:val="38F7EFE7"/>
    <w:rsid w:val="390D9D7C"/>
    <w:rsid w:val="3913CAEE"/>
    <w:rsid w:val="393A9DFE"/>
    <w:rsid w:val="3A6D976D"/>
    <w:rsid w:val="3A96F83C"/>
    <w:rsid w:val="3AA2B507"/>
    <w:rsid w:val="3AD66E5F"/>
    <w:rsid w:val="3AD66E5F"/>
    <w:rsid w:val="3B2690B1"/>
    <w:rsid w:val="3B85E969"/>
    <w:rsid w:val="3B969F0D"/>
    <w:rsid w:val="3C638A6A"/>
    <w:rsid w:val="3CA1D8EE"/>
    <w:rsid w:val="3CA75269"/>
    <w:rsid w:val="3CE9D334"/>
    <w:rsid w:val="3D10F34A"/>
    <w:rsid w:val="3D28C305"/>
    <w:rsid w:val="3D844ADF"/>
    <w:rsid w:val="3D95DE03"/>
    <w:rsid w:val="3DB28D7C"/>
    <w:rsid w:val="3E19720F"/>
    <w:rsid w:val="3E1DF834"/>
    <w:rsid w:val="3E2F7885"/>
    <w:rsid w:val="3E34ABE4"/>
    <w:rsid w:val="3EA36D25"/>
    <w:rsid w:val="3ECB0C97"/>
    <w:rsid w:val="3EF62F30"/>
    <w:rsid w:val="3F4E5DDD"/>
    <w:rsid w:val="3F945AA4"/>
    <w:rsid w:val="3F9B2B2C"/>
    <w:rsid w:val="4019081B"/>
    <w:rsid w:val="407C18D7"/>
    <w:rsid w:val="40898ACF"/>
    <w:rsid w:val="40E4C11A"/>
    <w:rsid w:val="40E69802"/>
    <w:rsid w:val="41105B96"/>
    <w:rsid w:val="41A99DA1"/>
    <w:rsid w:val="41AF8132"/>
    <w:rsid w:val="4202AD59"/>
    <w:rsid w:val="420A9ADF"/>
    <w:rsid w:val="422359AF"/>
    <w:rsid w:val="4285FE9F"/>
    <w:rsid w:val="42B29057"/>
    <w:rsid w:val="42D1AE85"/>
    <w:rsid w:val="43316437"/>
    <w:rsid w:val="43457ED5"/>
    <w:rsid w:val="440306AF"/>
    <w:rsid w:val="446E9C4F"/>
    <w:rsid w:val="44A43EB3"/>
    <w:rsid w:val="44ACEAD3"/>
    <w:rsid w:val="44E8EB03"/>
    <w:rsid w:val="4511CE71"/>
    <w:rsid w:val="455439A7"/>
    <w:rsid w:val="4596F5B1"/>
    <w:rsid w:val="45970DCE"/>
    <w:rsid w:val="459B8E5A"/>
    <w:rsid w:val="466FF5BF"/>
    <w:rsid w:val="46E2AF3B"/>
    <w:rsid w:val="47B9CF4D"/>
    <w:rsid w:val="48660643"/>
    <w:rsid w:val="4885EDF7"/>
    <w:rsid w:val="48CBC5F2"/>
    <w:rsid w:val="48FB3F08"/>
    <w:rsid w:val="493A114A"/>
    <w:rsid w:val="49420D72"/>
    <w:rsid w:val="49A9C0AD"/>
    <w:rsid w:val="49A9C0AD"/>
    <w:rsid w:val="49CFDAB9"/>
    <w:rsid w:val="49D03168"/>
    <w:rsid w:val="4A65630C"/>
    <w:rsid w:val="4AF1700F"/>
    <w:rsid w:val="4B45F085"/>
    <w:rsid w:val="4B62F3A7"/>
    <w:rsid w:val="4B8FF5D5"/>
    <w:rsid w:val="4C8552EA"/>
    <w:rsid w:val="4CC5E83A"/>
    <w:rsid w:val="4D7915DD"/>
    <w:rsid w:val="4D7CA1D3"/>
    <w:rsid w:val="4D93217F"/>
    <w:rsid w:val="4DA75C03"/>
    <w:rsid w:val="4E0773C0"/>
    <w:rsid w:val="4E6EF84C"/>
    <w:rsid w:val="4E70FB3E"/>
    <w:rsid w:val="4EE91DE7"/>
    <w:rsid w:val="4EF6514C"/>
    <w:rsid w:val="4F18F1FB"/>
    <w:rsid w:val="4FC4E132"/>
    <w:rsid w:val="4FFFCC71"/>
    <w:rsid w:val="5084EE48"/>
    <w:rsid w:val="509F449A"/>
    <w:rsid w:val="50B25BBF"/>
    <w:rsid w:val="50DED48E"/>
    <w:rsid w:val="512DBEE5"/>
    <w:rsid w:val="514E65F5"/>
    <w:rsid w:val="519BAA35"/>
    <w:rsid w:val="5220BEA9"/>
    <w:rsid w:val="522A75FB"/>
    <w:rsid w:val="5241AF87"/>
    <w:rsid w:val="52B39531"/>
    <w:rsid w:val="52BD327F"/>
    <w:rsid w:val="53247983"/>
    <w:rsid w:val="532C7E9E"/>
    <w:rsid w:val="535CFE25"/>
    <w:rsid w:val="541B012F"/>
    <w:rsid w:val="545BBEA6"/>
    <w:rsid w:val="54CA265D"/>
    <w:rsid w:val="54F824C0"/>
    <w:rsid w:val="550B6DF7"/>
    <w:rsid w:val="55A81FB4"/>
    <w:rsid w:val="55AEB99A"/>
    <w:rsid w:val="55B5600E"/>
    <w:rsid w:val="56287E00"/>
    <w:rsid w:val="57397994"/>
    <w:rsid w:val="5787BACD"/>
    <w:rsid w:val="57C44E61"/>
    <w:rsid w:val="57E98AB3"/>
    <w:rsid w:val="581BC6E1"/>
    <w:rsid w:val="58281D1B"/>
    <w:rsid w:val="582C4B7E"/>
    <w:rsid w:val="589FF66F"/>
    <w:rsid w:val="58B64796"/>
    <w:rsid w:val="58CC862B"/>
    <w:rsid w:val="5940D324"/>
    <w:rsid w:val="59CCD626"/>
    <w:rsid w:val="59E8BC38"/>
    <w:rsid w:val="5A711A56"/>
    <w:rsid w:val="5AF8046D"/>
    <w:rsid w:val="5B212B75"/>
    <w:rsid w:val="5B212B75"/>
    <w:rsid w:val="5B7B56FC"/>
    <w:rsid w:val="5B9F3CA3"/>
    <w:rsid w:val="5C782A29"/>
    <w:rsid w:val="5CB4398B"/>
    <w:rsid w:val="5CCF18CA"/>
    <w:rsid w:val="5D1D9F45"/>
    <w:rsid w:val="5DBB7409"/>
    <w:rsid w:val="5DBC0985"/>
    <w:rsid w:val="5DD8B944"/>
    <w:rsid w:val="5E3E0BE6"/>
    <w:rsid w:val="5ECE95D0"/>
    <w:rsid w:val="5F205AF6"/>
    <w:rsid w:val="5F680BC9"/>
    <w:rsid w:val="5F7959AB"/>
    <w:rsid w:val="5FEBDA4D"/>
    <w:rsid w:val="60330502"/>
    <w:rsid w:val="6065E366"/>
    <w:rsid w:val="60ABB72C"/>
    <w:rsid w:val="60F2B5E0"/>
    <w:rsid w:val="619BCB57"/>
    <w:rsid w:val="61B50948"/>
    <w:rsid w:val="61C6AD50"/>
    <w:rsid w:val="62673003"/>
    <w:rsid w:val="628E8641"/>
    <w:rsid w:val="628FCDE0"/>
    <w:rsid w:val="62D44ABE"/>
    <w:rsid w:val="62FE3CBD"/>
    <w:rsid w:val="63558BE6"/>
    <w:rsid w:val="63558BE6"/>
    <w:rsid w:val="63F534F4"/>
    <w:rsid w:val="642A56A2"/>
    <w:rsid w:val="664A4680"/>
    <w:rsid w:val="667D9899"/>
    <w:rsid w:val="66F5DB5C"/>
    <w:rsid w:val="672F9CB3"/>
    <w:rsid w:val="676ADDDA"/>
    <w:rsid w:val="67781308"/>
    <w:rsid w:val="679DA9BB"/>
    <w:rsid w:val="686DD386"/>
    <w:rsid w:val="6894A4B2"/>
    <w:rsid w:val="68C43D4C"/>
    <w:rsid w:val="68F7D144"/>
    <w:rsid w:val="693203D8"/>
    <w:rsid w:val="698B322A"/>
    <w:rsid w:val="69D56DFE"/>
    <w:rsid w:val="6A06CD88"/>
    <w:rsid w:val="6A43597B"/>
    <w:rsid w:val="6AC67D86"/>
    <w:rsid w:val="6B071B04"/>
    <w:rsid w:val="6B2093AE"/>
    <w:rsid w:val="6B2D0220"/>
    <w:rsid w:val="6BA29DE9"/>
    <w:rsid w:val="6BECAD83"/>
    <w:rsid w:val="6BFBDE0E"/>
    <w:rsid w:val="6C22383D"/>
    <w:rsid w:val="6C307582"/>
    <w:rsid w:val="6C4DEC87"/>
    <w:rsid w:val="6CCF60E8"/>
    <w:rsid w:val="6CD329F8"/>
    <w:rsid w:val="6D3E6E4A"/>
    <w:rsid w:val="6D60044E"/>
    <w:rsid w:val="6D7AFA3D"/>
    <w:rsid w:val="6DCD6017"/>
    <w:rsid w:val="6E43591F"/>
    <w:rsid w:val="6ED3D8D2"/>
    <w:rsid w:val="6F3D0C9D"/>
    <w:rsid w:val="6F498A97"/>
    <w:rsid w:val="6F73E548"/>
    <w:rsid w:val="6F858D49"/>
    <w:rsid w:val="6FB305A5"/>
    <w:rsid w:val="6FCB418E"/>
    <w:rsid w:val="705B7A43"/>
    <w:rsid w:val="7075DFD2"/>
    <w:rsid w:val="70FE6D2A"/>
    <w:rsid w:val="7184A61B"/>
    <w:rsid w:val="72198826"/>
    <w:rsid w:val="724E6B60"/>
    <w:rsid w:val="728D7DBE"/>
    <w:rsid w:val="72D80362"/>
    <w:rsid w:val="72E1CEC8"/>
    <w:rsid w:val="72EF3CEE"/>
    <w:rsid w:val="7335F74C"/>
    <w:rsid w:val="7339CB51"/>
    <w:rsid w:val="735EE285"/>
    <w:rsid w:val="73948771"/>
    <w:rsid w:val="751820A5"/>
    <w:rsid w:val="755801EE"/>
    <w:rsid w:val="755C402B"/>
    <w:rsid w:val="75938FC9"/>
    <w:rsid w:val="75F75E83"/>
    <w:rsid w:val="75FC3BFD"/>
    <w:rsid w:val="765EF13A"/>
    <w:rsid w:val="76BE84F5"/>
    <w:rsid w:val="772A2B08"/>
    <w:rsid w:val="7765028E"/>
    <w:rsid w:val="7766B970"/>
    <w:rsid w:val="77AE6C25"/>
    <w:rsid w:val="7816AA70"/>
    <w:rsid w:val="78192B4B"/>
    <w:rsid w:val="78CFD1A6"/>
    <w:rsid w:val="78D461F1"/>
    <w:rsid w:val="791526D7"/>
    <w:rsid w:val="7919BB69"/>
    <w:rsid w:val="7985A780"/>
    <w:rsid w:val="7A1FC3F1"/>
    <w:rsid w:val="7A597D45"/>
    <w:rsid w:val="7AA92DF6"/>
    <w:rsid w:val="7AFD695B"/>
    <w:rsid w:val="7B35E997"/>
    <w:rsid w:val="7B50CC0D"/>
    <w:rsid w:val="7B5EDA46"/>
    <w:rsid w:val="7BAF1257"/>
    <w:rsid w:val="7C1F4B54"/>
    <w:rsid w:val="7C2042C7"/>
    <w:rsid w:val="7CAEE18B"/>
    <w:rsid w:val="7D5F6393"/>
    <w:rsid w:val="7D986B09"/>
    <w:rsid w:val="7DAA4664"/>
    <w:rsid w:val="7DDB4670"/>
    <w:rsid w:val="7DF81B65"/>
    <w:rsid w:val="7E4A6511"/>
    <w:rsid w:val="7E6AD312"/>
    <w:rsid w:val="7E819211"/>
    <w:rsid w:val="7F791302"/>
    <w:rsid w:val="7F89A64B"/>
    <w:rsid w:val="7FD4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074F"/>
  <w15:chartTrackingRefBased/>
  <w15:docId w15:val="{8143C1E7-5450-496F-B508-2DF6BD3220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fe59dfc111c4ab1" /><Relationship Type="http://schemas.openxmlformats.org/officeDocument/2006/relationships/image" Target="/media/image3.png" Id="R175fa5712d7c4978" /><Relationship Type="http://schemas.openxmlformats.org/officeDocument/2006/relationships/hyperlink" Target="https://us02web.zoom.us/j/83750068908?pwd=M1JyeGFCSDVFRWRvUXB0UTJTL3BzUT09" TargetMode="External" Id="Rc0503c75939747ce" /><Relationship Type="http://schemas.openxmlformats.org/officeDocument/2006/relationships/image" Target="/media/image4.png" Id="Rd1aeacf49c0f414d" /><Relationship Type="http://schemas.openxmlformats.org/officeDocument/2006/relationships/image" Target="/media/image5.png" Id="R672f5a65d7794211" /><Relationship Type="http://schemas.openxmlformats.org/officeDocument/2006/relationships/image" Target="/media/image6.png" Id="R42be0fe462da42dd" /><Relationship Type="http://schemas.openxmlformats.org/officeDocument/2006/relationships/hyperlink" Target="https://www.ccslib.org/training/ill-library-accounts" TargetMode="External" Id="R2e6d84e115a041fc" /><Relationship Type="http://schemas.openxmlformats.org/officeDocument/2006/relationships/hyperlink" Target="https://ccs-training.polarislibrary.com/LeapWebApp" TargetMode="External" Id="R3ff898b2813c4074" /><Relationship Type="http://schemas.openxmlformats.org/officeDocument/2006/relationships/hyperlink" Target="https://www.ccslib.org/training/managing-undeliverable-notices" TargetMode="External" Id="R6fe2492fe7074b17" /><Relationship Type="http://schemas.openxmlformats.org/officeDocument/2006/relationships/header" Target="header.xml" Id="R00caef1393174473" /><Relationship Type="http://schemas.openxmlformats.org/officeDocument/2006/relationships/footer" Target="footer.xml" Id="R021818deea89491e" /><Relationship Type="http://schemas.microsoft.com/office/2020/10/relationships/intelligence" Target="intelligence2.xml" Id="Rbd494b64add749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2023-06-30T13:17:21.9960739Z</dcterms:created>
  <dcterms:modified xsi:type="dcterms:W3CDTF">2023-09-07T21:40:20.3455477Z</dcterms:modified>
  <dc:creator>Mieko Landers</dc:creator>
  <lastModifiedBy>Mieko Landers</lastModifiedBy>
</coreProperties>
</file>