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2B255BE" w:rsidP="62BC85D7" w:rsidRDefault="52B255BE" w14:paraId="7094CFB5" w14:textId="5FDD89F8">
      <w:pPr>
        <w:pStyle w:val="Heading1"/>
        <w:spacing w:before="0" w:beforeAutospacing="off" w:after="0" w:afterAutospacing="off" w:line="278" w:lineRule="auto"/>
        <w:jc w:val="center"/>
        <w:rPr>
          <w:rFonts w:ascii="Raleway" w:hAnsi="Raleway" w:eastAsia="Raleway" w:cs="Raleway"/>
          <w:b w:val="1"/>
          <w:bCs w:val="1"/>
          <w:noProof w:val="0"/>
          <w:color w:val="2F5496"/>
          <w:sz w:val="32"/>
          <w:szCs w:val="32"/>
          <w:lang w:val="en-US"/>
        </w:rPr>
      </w:pPr>
      <w:r w:rsidRPr="100E91D2" w:rsidR="52B255BE">
        <w:rPr>
          <w:rFonts w:ascii="Raleway" w:hAnsi="Raleway" w:eastAsia="Raleway" w:cs="Raleway"/>
          <w:b w:val="1"/>
          <w:bCs w:val="1"/>
          <w:noProof w:val="0"/>
          <w:color w:val="2F5496"/>
          <w:sz w:val="32"/>
          <w:szCs w:val="32"/>
          <w:lang w:val="en-US"/>
        </w:rPr>
        <w:t>Circulation/ILL Advisory Group</w:t>
      </w:r>
    </w:p>
    <w:p w:rsidR="52B255BE" w:rsidP="6D113CA2" w:rsidRDefault="52B255BE" w14:paraId="48FDBCEF" w14:textId="155E3982">
      <w:pPr>
        <w:pStyle w:val="Heading1"/>
        <w:spacing w:before="0" w:beforeAutospacing="off" w:after="0" w:afterAutospacing="off" w:line="278" w:lineRule="auto"/>
        <w:jc w:val="center"/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</w:pPr>
      <w:r w:rsidRPr="6D113CA2" w:rsidR="52B255BE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 xml:space="preserve">Agenda – </w:t>
      </w:r>
      <w:r w:rsidRPr="6D113CA2" w:rsidR="1DCDBC43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>February 20, 2026</w:t>
      </w:r>
    </w:p>
    <w:p w:rsidR="52B255BE" w:rsidP="6D113CA2" w:rsidRDefault="52B255BE" w14:paraId="65CA8F66" w14:textId="48D91C4A">
      <w:pPr>
        <w:pStyle w:val="Heading1"/>
        <w:spacing w:before="0" w:beforeAutospacing="off" w:after="0" w:afterAutospacing="off" w:line="278" w:lineRule="auto"/>
        <w:jc w:val="center"/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</w:pPr>
      <w:r w:rsidRPr="610030EF" w:rsidR="1DCDBC43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>CCS Office</w:t>
      </w:r>
      <w:r w:rsidRPr="610030EF" w:rsidR="52B255BE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 xml:space="preserve">, </w:t>
      </w:r>
      <w:r w:rsidRPr="610030EF" w:rsidR="15D239FD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>1</w:t>
      </w:r>
      <w:r w:rsidRPr="610030EF" w:rsidR="52B255BE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>0</w:t>
      </w:r>
      <w:r w:rsidRPr="610030EF" w:rsidR="15D239FD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>:00</w:t>
      </w:r>
      <w:r w:rsidRPr="610030EF" w:rsidR="52B255BE">
        <w:rPr>
          <w:rFonts w:ascii="Raleway" w:hAnsi="Raleway" w:eastAsia="Raleway" w:cs="Raleway"/>
          <w:b w:val="1"/>
          <w:bCs w:val="1"/>
          <w:noProof w:val="0"/>
          <w:color w:val="2F5496"/>
          <w:sz w:val="28"/>
          <w:szCs w:val="28"/>
          <w:lang w:val="en-US"/>
        </w:rPr>
        <w:t xml:space="preserve"> a.m.</w:t>
      </w:r>
    </w:p>
    <w:p w:rsidR="35B82F92" w:rsidP="610030EF" w:rsidRDefault="35B82F92" w14:paraId="22D5285C" w14:textId="76B83E98">
      <w:pPr>
        <w:pStyle w:val="Heading1"/>
        <w:spacing w:before="0" w:beforeAutospacing="off" w:after="0" w:afterAutospacing="off" w:line="278" w:lineRule="auto"/>
        <w:jc w:val="center"/>
        <w:rPr>
          <w:rFonts w:ascii="Raleway" w:hAnsi="Raleway" w:eastAsia="Raleway" w:cs="Raleway"/>
          <w:b w:val="1"/>
          <w:bCs w:val="1"/>
          <w:noProof w:val="0"/>
          <w:color w:val="2F5496"/>
          <w:sz w:val="24"/>
          <w:szCs w:val="24"/>
          <w:lang w:val="en-US"/>
        </w:rPr>
      </w:pPr>
      <w:r w:rsidRPr="610030EF" w:rsidR="35B82F92">
        <w:rPr>
          <w:rFonts w:ascii="Raleway" w:hAnsi="Raleway" w:eastAsia="Raleway" w:cs="Raleway"/>
          <w:b w:val="1"/>
          <w:bCs w:val="1"/>
          <w:noProof w:val="0"/>
          <w:color w:val="2F5496"/>
          <w:sz w:val="24"/>
          <w:szCs w:val="24"/>
          <w:lang w:val="en-US"/>
        </w:rPr>
        <w:t>100 Tri State International Drive Suite 122</w:t>
      </w:r>
      <w:r>
        <w:br/>
      </w:r>
      <w:r w:rsidRPr="610030EF" w:rsidR="35B82F92">
        <w:rPr>
          <w:rFonts w:ascii="Raleway" w:hAnsi="Raleway" w:eastAsia="Raleway" w:cs="Raleway"/>
          <w:b w:val="1"/>
          <w:bCs w:val="1"/>
          <w:noProof w:val="0"/>
          <w:color w:val="2F5496"/>
          <w:sz w:val="24"/>
          <w:szCs w:val="24"/>
          <w:lang w:val="en-US"/>
        </w:rPr>
        <w:t>Lincolnshire, IL. 60069</w:t>
      </w:r>
    </w:p>
    <w:p w:rsidR="610030EF" w:rsidP="610030EF" w:rsidRDefault="610030EF" w14:paraId="3EB49A38" w14:textId="01B2CEC6">
      <w:pPr>
        <w:pStyle w:val="Normal"/>
        <w:rPr>
          <w:noProof w:val="0"/>
          <w:lang w:val="en-US"/>
        </w:rPr>
      </w:pPr>
    </w:p>
    <w:p w:rsidR="52B255BE" w:rsidP="30653246" w:rsidRDefault="52B255BE" w14:paraId="17DDB2E7" w14:textId="560C89B2">
      <w:pPr>
        <w:spacing w:before="0" w:beforeAutospacing="off" w:after="160" w:afterAutospacing="off" w:line="278" w:lineRule="auto"/>
      </w:pPr>
      <w:r w:rsidRPr="3370ABE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B255BE" w:rsidP="30653246" w:rsidRDefault="52B255BE" w14:paraId="052F2818" w14:textId="06E98380">
      <w:pPr>
        <w:spacing w:before="0" w:beforeAutospacing="off" w:after="160" w:afterAutospacing="off" w:line="278" w:lineRule="auto"/>
      </w:pPr>
      <w:r w:rsidRPr="3065324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B255BE" w:rsidP="30653246" w:rsidRDefault="52B255BE" w14:paraId="0261E186" w14:textId="01579104">
      <w:pPr>
        <w:pStyle w:val="NoSpacing"/>
        <w:numPr>
          <w:ilvl w:val="0"/>
          <w:numId w:val="4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0653246" w:rsidR="52B255B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653246" w:rsidR="52B255B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065324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 min</w:t>
      </w:r>
    </w:p>
    <w:p w:rsidR="52B255BE" w:rsidP="30653246" w:rsidRDefault="52B255BE" w14:paraId="0CDF3D30" w14:textId="2ADD5875">
      <w:pPr>
        <w:spacing w:before="0" w:beforeAutospacing="off" w:after="0" w:afterAutospacing="off"/>
      </w:pPr>
      <w:r w:rsidRPr="3065324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B255BE" w:rsidP="30653246" w:rsidRDefault="52B255BE" w14:paraId="09ECA269" w14:textId="53575E9E">
      <w:pPr>
        <w:pStyle w:val="NoSpacing"/>
        <w:numPr>
          <w:ilvl w:val="0"/>
          <w:numId w:val="4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30653246" w:rsidR="52B255B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Approval of minutes from last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653246" w:rsidR="52B255B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065324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 min</w:t>
      </w:r>
    </w:p>
    <w:p w:rsidR="52B255BE" w:rsidP="30653246" w:rsidRDefault="52B255BE" w14:paraId="0CC5A8EE" w14:textId="50241847">
      <w:pPr>
        <w:spacing w:before="0" w:beforeAutospacing="off" w:after="0" w:afterAutospacing="off"/>
      </w:pPr>
      <w:r w:rsidRPr="3065324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B255BE" w:rsidP="3370ABE6" w:rsidRDefault="52B255BE" w14:paraId="42D51CF4" w14:textId="717D996F">
      <w:pPr>
        <w:pStyle w:val="NoSpacing"/>
        <w:numPr>
          <w:ilvl w:val="0"/>
          <w:numId w:val="4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75469C61" w:rsidR="52B255B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Old Business</w:t>
      </w:r>
    </w:p>
    <w:p w:rsidR="5A3EFE34" w:rsidP="75469C61" w:rsidRDefault="5A3EFE34" w14:paraId="58A9B82C" w14:textId="20E2FED3">
      <w:pPr>
        <w:pStyle w:val="NoSpacing"/>
        <w:numPr>
          <w:ilvl w:val="1"/>
          <w:numId w:val="4"/>
        </w:numPr>
        <w:spacing w:before="0" w:beforeAutospacing="off" w:after="0" w:afterAutospacing="off"/>
        <w:ind w:right="0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2B255BE" w:rsidP="30653246" w:rsidRDefault="52B255BE" w14:paraId="62F7270D" w14:textId="089A692B">
      <w:pPr>
        <w:spacing w:before="0" w:beforeAutospacing="off" w:after="0" w:afterAutospacing="off"/>
        <w:ind w:left="720" w:right="0"/>
      </w:pPr>
      <w:r w:rsidRPr="30653246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B255BE" w:rsidP="30653246" w:rsidRDefault="52B255BE" w14:paraId="7A2BA39C" w14:textId="1CEE6882">
      <w:pPr>
        <w:pStyle w:val="NoSpacing"/>
        <w:numPr>
          <w:ilvl w:val="0"/>
          <w:numId w:val="4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370ABE6" w:rsidR="52B255BE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w:rsidR="52B255BE" w:rsidP="75469C61" w:rsidRDefault="52B255BE" w14:paraId="309AE04B" w14:textId="54AA9898">
      <w:pPr>
        <w:pStyle w:val="NoSpacing"/>
        <w:numPr>
          <w:ilvl w:val="1"/>
          <w:numId w:val="4"/>
        </w:numPr>
        <w:spacing w:before="0" w:beforeAutospacing="off" w:after="0" w:afterAutospacing="off"/>
        <w:ind w:left="1440" w:right="0" w:hanging="360"/>
        <w:rPr>
          <w:sz w:val="24"/>
          <w:szCs w:val="24"/>
        </w:rPr>
      </w:pPr>
      <w:r w:rsidRPr="610030EF" w:rsidR="6B4ED28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Dated Patron Notes </w:t>
      </w:r>
      <w:r w:rsidRPr="610030EF" w:rsidR="0FA69CC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(DISCUSSION/ACTION)</w:t>
      </w:r>
      <w:r>
        <w:tab/>
      </w:r>
      <w:r>
        <w:tab/>
      </w:r>
      <w:r>
        <w:tab/>
      </w:r>
      <w:r>
        <w:tab/>
      </w:r>
      <w:r>
        <w:tab/>
      </w:r>
      <w:r w:rsidRPr="610030EF" w:rsidR="6B4ED280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30 min</w:t>
      </w:r>
    </w:p>
    <w:p w:rsidR="61713473" w:rsidP="610030EF" w:rsidRDefault="61713473" w14:paraId="6F8203F7" w14:textId="44CF2ECE">
      <w:pPr>
        <w:pStyle w:val="NoSpacing"/>
        <w:numPr>
          <w:ilvl w:val="1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sz w:val="22"/>
          <w:szCs w:val="22"/>
        </w:rPr>
      </w:pPr>
      <w:r w:rsidRPr="610030EF" w:rsidR="61713473">
        <w:rPr>
          <w:rFonts w:ascii="Calibri" w:hAnsi="Calibri" w:eastAsia="Calibri" w:cs="Calibri"/>
          <w:sz w:val="22"/>
          <w:szCs w:val="22"/>
        </w:rPr>
        <w:t>OCLC Addresses in Leap (DISCUSSION)</w:t>
      </w:r>
      <w:r>
        <w:tab/>
      </w:r>
      <w:r>
        <w:tab/>
      </w:r>
      <w:r>
        <w:tab/>
      </w:r>
      <w:r>
        <w:tab/>
      </w:r>
      <w:r>
        <w:tab/>
      </w:r>
      <w:r w:rsidRPr="610030EF" w:rsidR="61713473">
        <w:rPr>
          <w:rFonts w:ascii="Calibri" w:hAnsi="Calibri" w:eastAsia="Calibri" w:cs="Calibri"/>
          <w:sz w:val="22"/>
          <w:szCs w:val="22"/>
        </w:rPr>
        <w:t xml:space="preserve">               10 min</w:t>
      </w:r>
    </w:p>
    <w:p w:rsidR="52B255BE" w:rsidP="610030EF" w:rsidRDefault="52B255BE" w14:paraId="39F655B0" w14:textId="0CE18A47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610030EF" w:rsidR="52B255B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B255BE" w:rsidP="30653246" w:rsidRDefault="52B255BE" w14:paraId="5CA7374A" w14:textId="56981786">
      <w:pPr>
        <w:pStyle w:val="NoSpacing"/>
        <w:spacing w:before="0" w:beforeAutospacing="off" w:after="0" w:afterAutospacing="off"/>
      </w:pPr>
      <w:r w:rsidRPr="30653246" w:rsidR="52B255B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Adjournment</w:t>
      </w:r>
    </w:p>
    <w:p w:rsidR="52B255BE" w:rsidP="30653246" w:rsidRDefault="52B255BE" w14:paraId="6E3D63EB" w14:textId="0E040C9D">
      <w:pPr>
        <w:spacing w:before="0" w:beforeAutospacing="off" w:after="0" w:afterAutospacing="off"/>
      </w:pPr>
      <w:r w:rsidRPr="30653246" w:rsidR="52B255BE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52B255BE" w:rsidP="30653246" w:rsidRDefault="52B255BE" w14:paraId="04C00F5E" w14:textId="230C2110">
      <w:pPr>
        <w:spacing w:before="0" w:beforeAutospacing="off" w:after="0" w:afterAutospacing="off"/>
      </w:pPr>
      <w:r w:rsidRPr="30653246" w:rsidR="52B255BE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52B255BE" w:rsidP="30653246" w:rsidRDefault="52B255BE" w14:paraId="149F663B" w14:textId="0F859FCF">
      <w:pPr>
        <w:spacing w:before="0" w:beforeAutospacing="off" w:after="0" w:afterAutospacing="off"/>
      </w:pPr>
      <w:r w:rsidRPr="30653246" w:rsidR="52B255BE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52B255BE" w:rsidP="30653246" w:rsidRDefault="52B255BE" w14:paraId="63695982" w14:textId="00EC3E03">
      <w:pPr>
        <w:pStyle w:val="NoSpacing"/>
        <w:spacing w:before="0" w:beforeAutospacing="off" w:after="0" w:afterAutospacing="off"/>
        <w:jc w:val="center"/>
      </w:pPr>
      <w:r w:rsidRPr="30653246" w:rsidR="52B255BE"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  <w:t>All matters on the agenda may be discussed, amended, and acted upon</w:t>
      </w:r>
    </w:p>
    <w:p w:rsidR="30653246" w:rsidP="30653246" w:rsidRDefault="30653246" w14:paraId="0AA08426" w14:textId="20B51FF3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3781010B" w14:textId="71ECABBB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7435FCF9" w14:textId="443A5F36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5A6CF64D" w14:textId="10237143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49F44791" w14:textId="3FFD6505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71D48F37" w14:textId="0C5CB951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20F80E12" w14:textId="74B54ED0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100E91D2" w:rsidP="100E91D2" w:rsidRDefault="100E91D2" w14:paraId="3BE32184" w14:textId="51536B14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7875D59C" w14:textId="4E6B3BC6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4F725493" w14:textId="1BCF0A00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06BD34C8" w14:textId="3E23F136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30653246" w:rsidRDefault="30653246" w14:paraId="097CF66F" w14:textId="39349412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100E91D2" w:rsidP="100E91D2" w:rsidRDefault="100E91D2" w14:paraId="24B85310" w14:textId="678F7631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7659FC73" w14:textId="33727380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5174C939" w14:textId="409DC3F1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04C3A32D" w14:textId="4A7EB94B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3A8AF89A" w14:textId="29EE49C7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5D4B847A" w14:textId="24007DA1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7A9F3191" w14:textId="6C13B287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75469C61" w:rsidP="75469C61" w:rsidRDefault="75469C61" w14:paraId="40094469" w14:textId="25F81DF6">
      <w:pPr>
        <w:pStyle w:val="NoSpacing"/>
        <w:spacing w:before="0" w:beforeAutospacing="off" w:after="0" w:afterAutospacing="off"/>
        <w:jc w:val="center"/>
        <w:rPr>
          <w:rFonts w:ascii="Arial" w:hAnsi="Arial" w:eastAsia="Arial" w:cs="Arial"/>
          <w:noProof w:val="0"/>
          <w:color w:val="201F1E"/>
          <w:sz w:val="19"/>
          <w:szCs w:val="19"/>
          <w:lang w:val="en-US"/>
        </w:rPr>
      </w:pPr>
    </w:p>
    <w:p w:rsidR="30653246" w:rsidP="62BC85D7" w:rsidRDefault="30653246" w14:paraId="2DD9CA79" w14:textId="30EA6B2B">
      <w:pPr>
        <w:pStyle w:val="Normal"/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173561B" w:rsidP="30653246" w:rsidRDefault="7173561B" w14:paraId="3FC5F80C" w14:textId="5A9F3B70">
      <w:pPr>
        <w:pStyle w:val="Heading2"/>
        <w:spacing w:before="240" w:beforeAutospacing="off" w:after="0" w:afterAutospacing="off" w:line="278" w:lineRule="auto"/>
        <w:rPr>
          <w:rFonts w:ascii="Calibri Light" w:hAnsi="Calibri Light" w:eastAsia="Calibri Light" w:cs="Calibri Light"/>
          <w:b w:val="1"/>
          <w:bCs w:val="1"/>
          <w:noProof w:val="0"/>
          <w:color w:val="2F5496"/>
          <w:sz w:val="32"/>
          <w:szCs w:val="32"/>
          <w:lang w:val="en-US"/>
        </w:rPr>
      </w:pPr>
      <w:r w:rsidRPr="610030EF" w:rsidR="7173561B">
        <w:rPr>
          <w:rFonts w:ascii="Calibri" w:hAnsi="Calibri" w:eastAsia="Calibri" w:cs="Calibri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  <w:t>4</w:t>
      </w:r>
      <w:r w:rsidRPr="610030EF" w:rsidR="1286ABD6">
        <w:rPr>
          <w:rFonts w:ascii="Calibri" w:hAnsi="Calibri" w:eastAsia="Calibri" w:cs="Calibri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  <w:t>a</w:t>
      </w:r>
      <w:r w:rsidRPr="610030EF" w:rsidR="7173561B">
        <w:rPr>
          <w:rFonts w:ascii="Calibri" w:hAnsi="Calibri" w:eastAsia="Calibri" w:cs="Calibri"/>
          <w:b w:val="0"/>
          <w:bC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. </w:t>
      </w:r>
      <w:r w:rsidRPr="610030EF" w:rsidR="666786A7">
        <w:rPr>
          <w:rFonts w:ascii="Calibri Light" w:hAnsi="Calibri Light" w:eastAsia="Calibri Light" w:cs="Calibri Light"/>
          <w:b w:val="1"/>
          <w:bCs w:val="1"/>
          <w:noProof w:val="0"/>
          <w:color w:val="2F5496"/>
          <w:sz w:val="32"/>
          <w:szCs w:val="32"/>
          <w:lang w:val="en-US"/>
        </w:rPr>
        <w:t>Dated Patron Note</w:t>
      </w:r>
      <w:r w:rsidRPr="610030EF" w:rsidR="24718F6A">
        <w:rPr>
          <w:rFonts w:ascii="Calibri Light" w:hAnsi="Calibri Light" w:eastAsia="Calibri Light" w:cs="Calibri Light"/>
          <w:b w:val="1"/>
          <w:bCs w:val="1"/>
          <w:noProof w:val="0"/>
          <w:color w:val="2F5496"/>
          <w:sz w:val="32"/>
          <w:szCs w:val="32"/>
          <w:lang w:val="en-US"/>
        </w:rPr>
        <w:t>s</w:t>
      </w:r>
    </w:p>
    <w:p w:rsidR="7FC8B887" w:rsidP="610030EF" w:rsidRDefault="7FC8B887" w14:paraId="276BBC73" w14:textId="23FA7ECD">
      <w:pPr>
        <w:pStyle w:val="ListParagraph"/>
        <w:numPr>
          <w:ilvl w:val="0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7FC8B88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Dated Notes Functionality:</w:t>
      </w:r>
      <w:r w:rsidRPr="610030EF" w:rsidR="7FC8B88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Version 8.0 introduces a new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>Dated Notes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1075A54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tab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for patron records. </w:t>
      </w:r>
      <w:r w:rsidRPr="610030EF" w:rsidR="02EC62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This is in addition to the original </w:t>
      </w:r>
      <w:r w:rsidRPr="610030EF" w:rsidR="02EC62A8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 xml:space="preserve">Blocks </w:t>
      </w:r>
      <w:r w:rsidRPr="610030EF" w:rsidR="02EC62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and </w:t>
      </w:r>
      <w:r w:rsidRPr="610030EF" w:rsidR="02EC62A8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 xml:space="preserve">Notes </w:t>
      </w:r>
      <w:r w:rsidRPr="610030EF" w:rsidR="02EC62A8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tabs found in the patron record.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Here the staff members can enter timestamped non-blocking notes through the Patron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workform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610030EF" w:rsidR="638C966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Once enabled, the Dated Notes tab is visible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right end of the patron record. Within</w:t>
      </w:r>
      <w:r w:rsidRPr="610030EF" w:rsidR="0602639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this view, the dated notes are listed as a table, with each row 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containing</w:t>
      </w: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:</w:t>
      </w:r>
    </w:p>
    <w:p w:rsidR="4F4BAE7E" w:rsidP="610030EF" w:rsidRDefault="4F4BAE7E" w14:paraId="1AE235AC" w14:textId="611E1904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Note</w:t>
      </w:r>
    </w:p>
    <w:p w:rsidR="4F4BAE7E" w:rsidP="610030EF" w:rsidRDefault="4F4BAE7E" w14:paraId="4BB4BAB7" w14:textId="140FA213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4F4BAE7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Creator</w:t>
      </w:r>
    </w:p>
    <w:p w:rsidR="32D1BDB0" w:rsidP="610030EF" w:rsidRDefault="32D1BDB0" w14:paraId="5C932B4E" w14:textId="71A89EEB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Branch</w:t>
      </w:r>
    </w:p>
    <w:p w:rsidR="32D1BDB0" w:rsidP="610030EF" w:rsidRDefault="32D1BDB0" w14:paraId="5E753921" w14:textId="44FACDD8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Creation Date</w:t>
      </w:r>
    </w:p>
    <w:p w:rsidR="32D1BDB0" w:rsidP="610030EF" w:rsidRDefault="32D1BDB0" w14:paraId="45984F64" w14:textId="417BE8C0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Staff members can add new notes to the table or 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delete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them. Once a dated note is </w:t>
      </w:r>
      <w:r>
        <w:tab/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added, it cannot be edited.</w:t>
      </w:r>
      <w:r w:rsidRPr="610030EF" w:rsidR="6C7E20F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en-US"/>
        </w:rPr>
        <w:t xml:space="preserve">There are new permissions in Leap 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llowing</w:t>
      </w:r>
      <w:r w:rsidRPr="610030EF" w:rsidR="273D30E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staff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members to view, add, and 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delete</w:t>
      </w:r>
      <w:r w:rsidRPr="610030EF" w:rsidR="32D1BDB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dated notes in patron records</w:t>
      </w:r>
      <w:r w:rsidRPr="610030EF" w:rsidR="32B3BAC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– these</w:t>
      </w:r>
      <w:r w:rsidRPr="610030EF" w:rsidR="3F82C4C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>
        <w:tab/>
      </w:r>
      <w:r w:rsidRPr="610030EF" w:rsidR="32B3BAC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</w:t>
      </w:r>
      <w:r w:rsidRPr="610030EF" w:rsidR="32B3BAC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ermissions must be assigned to staff members.</w:t>
      </w:r>
    </w:p>
    <w:p w:rsidR="281AD6EE" w:rsidP="610030EF" w:rsidRDefault="281AD6EE" w14:paraId="259F7125" w14:textId="1F80E7A7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281AD6E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Additional Features</w:t>
      </w:r>
      <w:r w:rsidRPr="610030EF" w:rsidR="7846F24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include using bulk action with dated notes and searching by </w:t>
      </w:r>
      <w:r>
        <w:tab/>
      </w:r>
      <w:r w:rsidRPr="610030EF" w:rsidR="7846F24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dated notes in the find tool. </w:t>
      </w:r>
      <w:r w:rsidRPr="610030EF" w:rsidR="3062AF6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Dates Notes will not produce a popup at check-out like </w:t>
      </w:r>
      <w:r>
        <w:tab/>
      </w:r>
      <w:r w:rsidRPr="610030EF" w:rsidR="3062AF6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Block</w:t>
      </w:r>
      <w:r w:rsidRPr="610030EF" w:rsidR="34AD3A1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ing</w:t>
      </w:r>
      <w:r w:rsidRPr="610030EF" w:rsidR="3062AF6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notes do.</w:t>
      </w:r>
    </w:p>
    <w:p w:rsidR="281AD6EE" w:rsidP="610030EF" w:rsidRDefault="281AD6EE" w14:paraId="4A8122E5" w14:textId="4650B3B0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3062AF6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="02896DD9">
        <w:drawing>
          <wp:anchor distT="0" distB="0" distL="114300" distR="114300" simplePos="0" relativeHeight="251658240" behindDoc="0" locked="0" layoutInCell="1" allowOverlap="1" wp14:anchorId="595AE001" wp14:editId="486CEEF6">
            <wp:simplePos x="0" y="0"/>
            <wp:positionH relativeFrom="column">
              <wp:posOffset>-419100</wp:posOffset>
            </wp:positionH>
            <wp:positionV relativeFrom="paragraph">
              <wp:posOffset>76200</wp:posOffset>
            </wp:positionV>
            <wp:extent cx="6917174" cy="2970838"/>
            <wp:effectExtent l="9525" t="9525" r="9525" b="9525"/>
            <wp:wrapNone/>
            <wp:docPr id="113374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337499" name=""/>
                    <pic:cNvPicPr/>
                  </pic:nvPicPr>
                  <pic:blipFill>
                    <a:blip xmlns:r="http://schemas.openxmlformats.org/officeDocument/2006/relationships" r:embed="rId13540314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7174" cy="2970838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5469C61" w:rsidP="610030EF" w:rsidRDefault="75469C61" w14:paraId="791664E2" w14:textId="2D4602B9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52BB6B66" w14:textId="51DF7A21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7100DF1A" w14:textId="0544E8D0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156796AF" w14:textId="2A1B516B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05789006" w14:textId="54847D78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286247CA" w14:textId="024F9036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1CD3602F" w14:textId="78C7BADA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12901D39" w14:textId="780B3BFC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5469C61" w:rsidP="610030EF" w:rsidRDefault="75469C61" w14:paraId="47E50520" w14:textId="0403A79F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02896DD9" w:rsidP="610030EF" w:rsidRDefault="02896DD9" w14:paraId="6D50D174" w14:textId="15F27011">
      <w:pPr>
        <w:pStyle w:val="Normal"/>
        <w:ind w:left="0" w:firstLine="72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7846F243" w:rsidP="610030EF" w:rsidRDefault="7846F243" w14:paraId="06D20484" w14:textId="0BE86278">
      <w:pPr>
        <w:pStyle w:val="ListParagraph"/>
        <w:numPr>
          <w:ilvl w:val="0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030EF" w:rsidR="7846F24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Background</w:t>
      </w:r>
      <w:r w:rsidRPr="610030EF" w:rsidR="7846F24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  <w:r w:rsidRPr="610030EF" w:rsidR="14EDF60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At the last Circ/ILL Advisory meeting, the group decided to wait on clarifying a notes procedure until they tested the new 8.0 feature</w:t>
      </w:r>
      <w:r w:rsidRPr="610030EF" w:rsidR="14EDF60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.  </w:t>
      </w:r>
      <w:r w:rsidRPr="610030EF" w:rsidR="1ADFD67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According to the Circulation Manual, only libraries that add the note can alter or remove it, though it does not specify who can place a note on a patron account (only</w:t>
      </w:r>
      <w:r w:rsidRPr="610030EF" w:rsidR="5D11046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patron’s</w:t>
      </w:r>
      <w:r w:rsidRPr="610030EF" w:rsidR="1ADFD67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home library vs. </w:t>
      </w:r>
      <w:r w:rsidRPr="610030EF" w:rsidR="11F121D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a</w:t>
      </w:r>
      <w:r w:rsidRPr="610030EF" w:rsidR="1ADFD67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610030EF" w:rsidR="4E69F2F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y CCS library).</w:t>
      </w:r>
    </w:p>
    <w:p w:rsidR="511B4A5D" w:rsidP="610030EF" w:rsidRDefault="511B4A5D" w14:paraId="74FC7B96" w14:textId="072F24B2">
      <w:pPr>
        <w:pStyle w:val="ListParagraph"/>
        <w:numPr>
          <w:ilvl w:val="0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511B4A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Discussion</w:t>
      </w:r>
      <w:r w:rsidRPr="610030EF" w:rsidR="511B4A5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: </w:t>
      </w:r>
    </w:p>
    <w:p w:rsidR="75469C61" w:rsidP="610030EF" w:rsidRDefault="75469C61" w14:paraId="0DB66639" w14:textId="4DBF2EA8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6C133FC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Which staff members should</w:t>
      </w:r>
      <w:r w:rsidRPr="610030EF" w:rsidR="0D3CDFF2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have access to view/add/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delete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Dated Notes?</w:t>
      </w:r>
    </w:p>
    <w:p w:rsidR="68553855" w:rsidP="610030EF" w:rsidRDefault="68553855" w14:paraId="451E3A9D" w14:textId="356D5C85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What are 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pros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/cons of Dates Notes not producing popup notifications?</w:t>
      </w:r>
    </w:p>
    <w:p w:rsidR="68553855" w:rsidP="610030EF" w:rsidRDefault="68553855" w14:paraId="39DEB455" w14:textId="05E01F2A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How does this new feature 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impact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existing Blocking and Non-blocking notes field?</w:t>
      </w:r>
    </w:p>
    <w:p w:rsidR="68553855" w:rsidP="610030EF" w:rsidRDefault="68553855" w14:paraId="69E0E38A" w14:textId="62897462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How will the addition of this field affect staff experience and </w:t>
      </w:r>
      <w:r w:rsidRPr="610030EF" w:rsidR="77EA2B2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existing</w:t>
      </w:r>
      <w:r w:rsidRPr="610030EF" w:rsidR="6855385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library workflow?</w:t>
      </w:r>
    </w:p>
    <w:p w:rsidR="087AEFBC" w:rsidP="610030EF" w:rsidRDefault="087AEFBC" w14:paraId="451CF0E5" w14:textId="483CE51B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the </w:t>
      </w: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Circulation</w:t>
      </w: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Manual specify whether only a home library can </w:t>
      </w: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apply</w:t>
      </w: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a note? (Hard block vs non-blocking vs dated patron note)</w:t>
      </w:r>
    </w:p>
    <w:p w:rsidR="087AEFBC" w:rsidP="610030EF" w:rsidRDefault="087AEFBC" w14:paraId="76F798C5" w14:textId="0CD3CF85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there be standardization of what notes can be added </w:t>
      </w:r>
      <w:r w:rsidRPr="610030EF" w:rsidR="39E4EB38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610030EF" w:rsidR="087AEFBC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libraries?</w:t>
      </w:r>
    </w:p>
    <w:p w:rsidR="68553855" w:rsidP="610030EF" w:rsidRDefault="68553855" w14:paraId="75883D1B" w14:textId="5F64EC9C">
      <w:pPr>
        <w:pStyle w:val="ListParagraph"/>
        <w:numPr>
          <w:ilvl w:val="0"/>
          <w:numId w:val="2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610030EF" w:rsidR="6855385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10030EF" w:rsidR="4C19DA4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Documentation</w:t>
      </w:r>
    </w:p>
    <w:p w:rsidR="6A03EDD0" w:rsidP="610030EF" w:rsidRDefault="6A03EDD0" w14:paraId="2AC9AFC4" w14:textId="3A3DFC74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125697f9bfb4df3">
        <w:r w:rsidRPr="610030EF" w:rsidR="6A03EDD0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Polaris Upgrade Documentation</w:t>
        </w:r>
      </w:hyperlink>
      <w:r w:rsidRPr="610030EF" w:rsidR="21776F3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10030EF" w:rsidR="21776F3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pg</w:t>
      </w:r>
      <w:r w:rsidRPr="610030EF" w:rsidR="21776F37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 xml:space="preserve"> 35</w:t>
      </w:r>
    </w:p>
    <w:p w:rsidR="511B4A5D" w:rsidP="610030EF" w:rsidRDefault="511B4A5D" w14:paraId="45E0C5C9" w14:textId="7D90DB4B">
      <w:pPr>
        <w:pStyle w:val="ListParagraph"/>
        <w:numPr>
          <w:ilvl w:val="1"/>
          <w:numId w:val="22"/>
        </w:numPr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37bff8583094be8">
        <w:r w:rsidRPr="610030EF" w:rsidR="511B4A5D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US"/>
          </w:rPr>
          <w:t>Patron Blocks in Leap</w:t>
        </w:r>
      </w:hyperlink>
    </w:p>
    <w:p w:rsidR="1792E6FA" w:rsidP="610030EF" w:rsidRDefault="1792E6FA" w14:paraId="0BDBC2F6" w14:textId="558430BE">
      <w:pPr>
        <w:pStyle w:val="Heading2"/>
        <w:spacing w:before="240" w:beforeAutospacing="off" w:after="0" w:afterAutospacing="off" w:line="278" w:lineRule="auto"/>
        <w:rPr>
          <w:rFonts w:ascii="Calibri" w:hAnsi="Calibri" w:eastAsia="Calibri" w:cs="Calibri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10030EF" w:rsidR="1792E6FA">
        <w:rPr>
          <w:rFonts w:ascii="Calibri" w:hAnsi="Calibri" w:eastAsia="Calibri" w:cs="Calibri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  <w:t>4b. OCLC Addresses in Leap</w:t>
      </w:r>
    </w:p>
    <w:p w:rsidR="1792E6FA" w:rsidP="610030EF" w:rsidRDefault="1792E6FA" w14:paraId="60BDFCD0" w14:textId="0C0D6537">
      <w:pPr>
        <w:pStyle w:val="ListParagraph"/>
        <w:numPr>
          <w:ilvl w:val="0"/>
          <w:numId w:val="25"/>
        </w:numPr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610030EF" w:rsidR="1792E6F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Background</w:t>
      </w:r>
      <w:r w:rsidRPr="610030EF" w:rsidR="1792E6F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: </w:t>
      </w:r>
      <w:r w:rsidRPr="610030EF" w:rsidR="3041F0B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OCLC patron "University of Evansville" requested an item for the address: 1800 Lincoln Ave in Evansville, Indiana 47722. However, the Polaris Patron "University of Evansville Library (IUE)" address is</w:t>
      </w:r>
      <w:r w:rsidRPr="610030EF" w:rsidR="3041F0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lang w:val="en-US"/>
        </w:rPr>
        <w:t xml:space="preserve"> </w:t>
      </w:r>
      <w:r w:rsidRPr="610030EF" w:rsidR="3041F0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lang w:val="en-US"/>
        </w:rPr>
        <w:t>1 S Frederick St, Evansville, Indiana 47714</w:t>
      </w:r>
      <w:r w:rsidRPr="610030EF" w:rsidR="3041F0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lang w:val="en-US"/>
        </w:rPr>
        <w:t>.</w:t>
      </w:r>
      <w:r w:rsidRPr="610030EF" w:rsidR="3041F0B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 </w:t>
      </w:r>
      <w:r w:rsidRPr="610030EF" w:rsidR="6A14D2AD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In OCLC, both </w:t>
      </w:r>
      <w:r w:rsidRPr="610030EF" w:rsidR="3041F0BA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addresses are listed for the same institution. </w:t>
      </w:r>
    </w:p>
    <w:p w:rsidR="2792375E" w:rsidP="610030EF" w:rsidRDefault="2792375E" w14:paraId="222B58F3" w14:textId="0F6DFD7C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610030EF" w:rsidR="2792375E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In Polaris, we are able to add multiple addresses to a record. However, just the </w:t>
      </w:r>
      <w:r>
        <w:tab/>
      </w:r>
      <w:r w:rsidRPr="610030EF" w:rsidR="2792375E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primary address would display in the Find Tool if looking at a list of results.</w:t>
      </w:r>
    </w:p>
    <w:p w:rsidR="45394CEE" w:rsidP="610030EF" w:rsidRDefault="45394CEE" w14:paraId="521B2301" w14:textId="7899F730">
      <w:pPr>
        <w:pStyle w:val="ListParagraph"/>
        <w:numPr>
          <w:ilvl w:val="0"/>
          <w:numId w:val="25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610030EF" w:rsidR="45394CE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Discussion</w:t>
      </w:r>
      <w:r w:rsidRPr="610030EF" w:rsidR="6046AB6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lang w:val="en-US"/>
        </w:rPr>
        <w:t>:</w:t>
      </w:r>
    </w:p>
    <w:p w:rsidR="45394CEE" w:rsidP="610030EF" w:rsidRDefault="45394CEE" w14:paraId="23DCC9F6" w14:textId="5A7276F3">
      <w:pPr>
        <w:pStyle w:val="ListParagraph"/>
        <w:numPr>
          <w:ilvl w:val="1"/>
          <w:numId w:val="25"/>
        </w:numPr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610030EF" w:rsidR="45394CEE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In these situations, should both addresses be included in the Polaris patron record?</w:t>
      </w:r>
    </w:p>
    <w:p w:rsidR="2C10A5B1" w:rsidP="610030EF" w:rsidRDefault="2C10A5B1" w14:paraId="1A489224" w14:textId="0C423CA9">
      <w:pPr>
        <w:pStyle w:val="ListParagraph"/>
        <w:numPr>
          <w:ilvl w:val="1"/>
          <w:numId w:val="25"/>
        </w:numPr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610030EF" w:rsidR="2C10A5B1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Would adding both addresses (a primary and an </w:t>
      </w:r>
      <w:r w:rsidRPr="610030EF" w:rsidR="2C10A5B1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additional</w:t>
      </w:r>
      <w:r w:rsidRPr="610030EF" w:rsidR="2C10A5B1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 xml:space="preserve">) be </w:t>
      </w:r>
      <w:r w:rsidRPr="610030EF" w:rsidR="0A1BD2B3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h</w:t>
      </w:r>
      <w:r w:rsidRPr="610030EF" w:rsidR="2C10A5B1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elpful or a hindrance to staff?</w:t>
      </w:r>
    </w:p>
    <w:p w:rsidR="5AD3CC52" w:rsidP="610030EF" w:rsidRDefault="5AD3CC52" w14:paraId="051D0D7C" w14:textId="4A87F640">
      <w:pPr>
        <w:pStyle w:val="ListParagraph"/>
        <w:numPr>
          <w:ilvl w:val="1"/>
          <w:numId w:val="25"/>
        </w:numPr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</w:pPr>
      <w:r w:rsidRPr="610030EF" w:rsidR="5AD3CC52">
        <w:rPr>
          <w:rFonts w:ascii="Aptos" w:hAnsi="Aptos" w:eastAsia="Aptos" w:cs="Aptos" w:asciiTheme="minorAscii" w:hAnsiTheme="minorAscii" w:eastAsiaTheme="minorAscii" w:cstheme="minorAscii"/>
          <w:noProof w:val="0"/>
          <w:lang w:val="en-US"/>
        </w:rPr>
        <w:t>If adding associated addresses to an institution's record, should there be guidelines as to what address would be the primary address?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2860ff535b54f73"/>
      <w:footerReference w:type="default" r:id="Rd2b937daeee0451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F7FE84" w:rsidTr="19F7FE84" w14:paraId="7FD0621A">
      <w:trPr>
        <w:trHeight w:val="300"/>
      </w:trPr>
      <w:tc>
        <w:tcPr>
          <w:tcW w:w="3120" w:type="dxa"/>
          <w:tcMar/>
        </w:tcPr>
        <w:p w:rsidR="19F7FE84" w:rsidP="19F7FE84" w:rsidRDefault="19F7FE84" w14:paraId="582E0270" w14:textId="3D4163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F7FE84" w:rsidP="19F7FE84" w:rsidRDefault="19F7FE84" w14:paraId="4F822E26" w14:textId="32CED53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F7FE84" w:rsidP="19F7FE84" w:rsidRDefault="19F7FE84" w14:paraId="2DFC4CC4" w14:textId="1BEE3B92">
          <w:pPr>
            <w:pStyle w:val="Header"/>
            <w:bidi w:val="0"/>
            <w:ind w:right="-115"/>
            <w:jc w:val="right"/>
          </w:pPr>
        </w:p>
      </w:tc>
    </w:tr>
  </w:tbl>
  <w:p w:rsidR="19F7FE84" w:rsidP="19F7FE84" w:rsidRDefault="19F7FE84" w14:paraId="36B9E15F" w14:textId="1AD3A05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F7FE84" w:rsidTr="19F7FE84" w14:paraId="3488FF1C">
      <w:trPr>
        <w:trHeight w:val="300"/>
      </w:trPr>
      <w:tc>
        <w:tcPr>
          <w:tcW w:w="3120" w:type="dxa"/>
          <w:tcMar/>
        </w:tcPr>
        <w:p w:rsidR="19F7FE84" w:rsidP="19F7FE84" w:rsidRDefault="19F7FE84" w14:paraId="46857083" w14:textId="442DE16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F7FE84" w:rsidP="19F7FE84" w:rsidRDefault="19F7FE84" w14:paraId="791E4160" w14:textId="091A14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F7FE84" w:rsidP="19F7FE84" w:rsidRDefault="19F7FE84" w14:paraId="05157269" w14:textId="1D710E41">
          <w:pPr>
            <w:pStyle w:val="Header"/>
            <w:bidi w:val="0"/>
            <w:ind w:right="-115"/>
            <w:jc w:val="right"/>
          </w:pPr>
        </w:p>
      </w:tc>
    </w:tr>
  </w:tbl>
  <w:p w:rsidR="19F7FE84" w:rsidP="19F7FE84" w:rsidRDefault="19F7FE84" w14:paraId="610FD0C3" w14:textId="6D575B2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3981aa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2174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93a004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2">
    <w:nsid w:val="6f5a4cb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5605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2d1f5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5ce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6c15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b083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c66cd8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5d8f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8be60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b6b83b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f98a1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05de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ed964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fe6eb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04d8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8a519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b56ca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dc31d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b538e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4e34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967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e70b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A5136F"/>
    <w:rsid w:val="000634DB"/>
    <w:rsid w:val="009C3156"/>
    <w:rsid w:val="01E7DBE1"/>
    <w:rsid w:val="0234EE54"/>
    <w:rsid w:val="02506CB2"/>
    <w:rsid w:val="02595F1E"/>
    <w:rsid w:val="0282FE09"/>
    <w:rsid w:val="02896DD9"/>
    <w:rsid w:val="02EC62A8"/>
    <w:rsid w:val="02F19472"/>
    <w:rsid w:val="03078D9C"/>
    <w:rsid w:val="0343DE12"/>
    <w:rsid w:val="03AAE64A"/>
    <w:rsid w:val="041C8B35"/>
    <w:rsid w:val="0423E0ED"/>
    <w:rsid w:val="0433DFF8"/>
    <w:rsid w:val="04482AE2"/>
    <w:rsid w:val="04EE3362"/>
    <w:rsid w:val="05081515"/>
    <w:rsid w:val="0580715F"/>
    <w:rsid w:val="05FD45BC"/>
    <w:rsid w:val="06026392"/>
    <w:rsid w:val="06AEB027"/>
    <w:rsid w:val="06BC7239"/>
    <w:rsid w:val="07591D0B"/>
    <w:rsid w:val="076093CB"/>
    <w:rsid w:val="07AB9708"/>
    <w:rsid w:val="087AEFBC"/>
    <w:rsid w:val="08A8D2D1"/>
    <w:rsid w:val="08FFC884"/>
    <w:rsid w:val="0933CA18"/>
    <w:rsid w:val="0988F143"/>
    <w:rsid w:val="09924FF4"/>
    <w:rsid w:val="09AA0457"/>
    <w:rsid w:val="09BC18C3"/>
    <w:rsid w:val="0A1BD2B3"/>
    <w:rsid w:val="0B2D85A5"/>
    <w:rsid w:val="0BC79399"/>
    <w:rsid w:val="0C58284D"/>
    <w:rsid w:val="0D3CDFF2"/>
    <w:rsid w:val="0D66FC75"/>
    <w:rsid w:val="0F75A7EB"/>
    <w:rsid w:val="0F95A9A6"/>
    <w:rsid w:val="0FA69CC3"/>
    <w:rsid w:val="0FDF6519"/>
    <w:rsid w:val="100E91D2"/>
    <w:rsid w:val="104FFD12"/>
    <w:rsid w:val="1054773C"/>
    <w:rsid w:val="1075A549"/>
    <w:rsid w:val="1093FEB1"/>
    <w:rsid w:val="10B36084"/>
    <w:rsid w:val="10F231E1"/>
    <w:rsid w:val="113A4E4A"/>
    <w:rsid w:val="1190C478"/>
    <w:rsid w:val="11F121D9"/>
    <w:rsid w:val="1251FE55"/>
    <w:rsid w:val="1286ABD6"/>
    <w:rsid w:val="1287AE03"/>
    <w:rsid w:val="129A8759"/>
    <w:rsid w:val="12E9212B"/>
    <w:rsid w:val="131DB7B7"/>
    <w:rsid w:val="135529FD"/>
    <w:rsid w:val="135BC1B5"/>
    <w:rsid w:val="1387DF13"/>
    <w:rsid w:val="1475E945"/>
    <w:rsid w:val="14812410"/>
    <w:rsid w:val="14829808"/>
    <w:rsid w:val="14CB9245"/>
    <w:rsid w:val="14DA9B56"/>
    <w:rsid w:val="14E8BF20"/>
    <w:rsid w:val="14EDF60D"/>
    <w:rsid w:val="1500AF2F"/>
    <w:rsid w:val="150780E8"/>
    <w:rsid w:val="15D239FD"/>
    <w:rsid w:val="1634B0BB"/>
    <w:rsid w:val="16C512C4"/>
    <w:rsid w:val="171B1FE5"/>
    <w:rsid w:val="173D0D03"/>
    <w:rsid w:val="176D934C"/>
    <w:rsid w:val="1777F213"/>
    <w:rsid w:val="178AE567"/>
    <w:rsid w:val="1792E6FA"/>
    <w:rsid w:val="17DC5109"/>
    <w:rsid w:val="17E12BB6"/>
    <w:rsid w:val="18BEDC93"/>
    <w:rsid w:val="18D8FEF9"/>
    <w:rsid w:val="18F65177"/>
    <w:rsid w:val="197F8D79"/>
    <w:rsid w:val="19F7FE84"/>
    <w:rsid w:val="1A0CDC83"/>
    <w:rsid w:val="1A2EB81D"/>
    <w:rsid w:val="1A7D53AF"/>
    <w:rsid w:val="1ADFD677"/>
    <w:rsid w:val="1AF75FF2"/>
    <w:rsid w:val="1B3240ED"/>
    <w:rsid w:val="1B567868"/>
    <w:rsid w:val="1BFE3B39"/>
    <w:rsid w:val="1C13D33C"/>
    <w:rsid w:val="1C3B9066"/>
    <w:rsid w:val="1CD35CC5"/>
    <w:rsid w:val="1CD55611"/>
    <w:rsid w:val="1CE10B09"/>
    <w:rsid w:val="1CFA7B8D"/>
    <w:rsid w:val="1D308B01"/>
    <w:rsid w:val="1D35EF5A"/>
    <w:rsid w:val="1D55A948"/>
    <w:rsid w:val="1DCDBC43"/>
    <w:rsid w:val="1DD057D8"/>
    <w:rsid w:val="1E7FC767"/>
    <w:rsid w:val="1EA688BE"/>
    <w:rsid w:val="1EA953B4"/>
    <w:rsid w:val="1F4AE27C"/>
    <w:rsid w:val="203D4593"/>
    <w:rsid w:val="205320C4"/>
    <w:rsid w:val="21010EDC"/>
    <w:rsid w:val="21080A1C"/>
    <w:rsid w:val="21325646"/>
    <w:rsid w:val="21434774"/>
    <w:rsid w:val="215148E9"/>
    <w:rsid w:val="21776F37"/>
    <w:rsid w:val="217D3A12"/>
    <w:rsid w:val="21D03256"/>
    <w:rsid w:val="2206A463"/>
    <w:rsid w:val="22193CD0"/>
    <w:rsid w:val="22204FDC"/>
    <w:rsid w:val="2290E446"/>
    <w:rsid w:val="22C3C97B"/>
    <w:rsid w:val="232C84B6"/>
    <w:rsid w:val="23450D52"/>
    <w:rsid w:val="243698AD"/>
    <w:rsid w:val="24718F6A"/>
    <w:rsid w:val="25D03E40"/>
    <w:rsid w:val="262BCAC2"/>
    <w:rsid w:val="26784F5A"/>
    <w:rsid w:val="273D30EA"/>
    <w:rsid w:val="2746C81E"/>
    <w:rsid w:val="2755B640"/>
    <w:rsid w:val="2790E6F0"/>
    <w:rsid w:val="2792375E"/>
    <w:rsid w:val="27A7EB70"/>
    <w:rsid w:val="281AD6EE"/>
    <w:rsid w:val="2842793B"/>
    <w:rsid w:val="2852F807"/>
    <w:rsid w:val="28750778"/>
    <w:rsid w:val="293737BF"/>
    <w:rsid w:val="29D62D18"/>
    <w:rsid w:val="29EC5A6A"/>
    <w:rsid w:val="2A27FB63"/>
    <w:rsid w:val="2A662B5E"/>
    <w:rsid w:val="2B3045F5"/>
    <w:rsid w:val="2B31FCDF"/>
    <w:rsid w:val="2BC3E118"/>
    <w:rsid w:val="2BCB8D10"/>
    <w:rsid w:val="2BCC883C"/>
    <w:rsid w:val="2BD686F1"/>
    <w:rsid w:val="2BD9ECE9"/>
    <w:rsid w:val="2C03C846"/>
    <w:rsid w:val="2C10A5B1"/>
    <w:rsid w:val="2C8F9359"/>
    <w:rsid w:val="2DFE0C7C"/>
    <w:rsid w:val="2E05F8E3"/>
    <w:rsid w:val="2E40A8E3"/>
    <w:rsid w:val="2E4DDC1C"/>
    <w:rsid w:val="2E6AD109"/>
    <w:rsid w:val="2E78EC63"/>
    <w:rsid w:val="2E8444AA"/>
    <w:rsid w:val="2EBD4C41"/>
    <w:rsid w:val="2F79868A"/>
    <w:rsid w:val="301572C0"/>
    <w:rsid w:val="30242020"/>
    <w:rsid w:val="302A57CF"/>
    <w:rsid w:val="30379F7F"/>
    <w:rsid w:val="3041F0BA"/>
    <w:rsid w:val="3062AF66"/>
    <w:rsid w:val="30653246"/>
    <w:rsid w:val="3086ECA9"/>
    <w:rsid w:val="30D64796"/>
    <w:rsid w:val="317735EC"/>
    <w:rsid w:val="31851135"/>
    <w:rsid w:val="318D5482"/>
    <w:rsid w:val="319C4191"/>
    <w:rsid w:val="31FB7B33"/>
    <w:rsid w:val="326245C0"/>
    <w:rsid w:val="32A71579"/>
    <w:rsid w:val="32B3BAC5"/>
    <w:rsid w:val="32BF318A"/>
    <w:rsid w:val="32D1BDB0"/>
    <w:rsid w:val="336514B5"/>
    <w:rsid w:val="3370ABE6"/>
    <w:rsid w:val="34340A0E"/>
    <w:rsid w:val="349B86F2"/>
    <w:rsid w:val="34A5B2B9"/>
    <w:rsid w:val="34AD3A14"/>
    <w:rsid w:val="35809969"/>
    <w:rsid w:val="35B82F92"/>
    <w:rsid w:val="35FA948E"/>
    <w:rsid w:val="3614B83D"/>
    <w:rsid w:val="36220B14"/>
    <w:rsid w:val="36323DCF"/>
    <w:rsid w:val="364826BD"/>
    <w:rsid w:val="36F26C3C"/>
    <w:rsid w:val="371941DB"/>
    <w:rsid w:val="3783AAAC"/>
    <w:rsid w:val="38897D3A"/>
    <w:rsid w:val="3902F932"/>
    <w:rsid w:val="3913933B"/>
    <w:rsid w:val="39B5B692"/>
    <w:rsid w:val="39E4EB38"/>
    <w:rsid w:val="3A209FC0"/>
    <w:rsid w:val="3A7B4DDC"/>
    <w:rsid w:val="3A981FA4"/>
    <w:rsid w:val="3B1EC854"/>
    <w:rsid w:val="3B5CF9ED"/>
    <w:rsid w:val="3C962C6B"/>
    <w:rsid w:val="3CB0DDF5"/>
    <w:rsid w:val="3CE992A4"/>
    <w:rsid w:val="3D09A050"/>
    <w:rsid w:val="3D7D6023"/>
    <w:rsid w:val="3DE3A731"/>
    <w:rsid w:val="3ED822A5"/>
    <w:rsid w:val="3F24E5EA"/>
    <w:rsid w:val="3F332712"/>
    <w:rsid w:val="3F82C4CB"/>
    <w:rsid w:val="3F8E7AAB"/>
    <w:rsid w:val="3FB77A13"/>
    <w:rsid w:val="3FEE148F"/>
    <w:rsid w:val="403DE8F7"/>
    <w:rsid w:val="406F40AC"/>
    <w:rsid w:val="416764AF"/>
    <w:rsid w:val="4217C8A7"/>
    <w:rsid w:val="424C0552"/>
    <w:rsid w:val="429B374C"/>
    <w:rsid w:val="42CC726B"/>
    <w:rsid w:val="42DA5928"/>
    <w:rsid w:val="433B0C19"/>
    <w:rsid w:val="4378A92F"/>
    <w:rsid w:val="44106745"/>
    <w:rsid w:val="44113A3E"/>
    <w:rsid w:val="44356AC5"/>
    <w:rsid w:val="44384015"/>
    <w:rsid w:val="4441046C"/>
    <w:rsid w:val="445A3967"/>
    <w:rsid w:val="44C9A83E"/>
    <w:rsid w:val="45394CEE"/>
    <w:rsid w:val="46C9F010"/>
    <w:rsid w:val="472FDB1C"/>
    <w:rsid w:val="47923211"/>
    <w:rsid w:val="47EBDE8E"/>
    <w:rsid w:val="4811C1FC"/>
    <w:rsid w:val="4829949A"/>
    <w:rsid w:val="48339BBC"/>
    <w:rsid w:val="48A395F1"/>
    <w:rsid w:val="4A1B5B46"/>
    <w:rsid w:val="4A702730"/>
    <w:rsid w:val="4B6EDA4E"/>
    <w:rsid w:val="4BA15FAB"/>
    <w:rsid w:val="4C13E1D2"/>
    <w:rsid w:val="4C19DA40"/>
    <w:rsid w:val="4D1CCB6F"/>
    <w:rsid w:val="4D1DAED5"/>
    <w:rsid w:val="4D30C538"/>
    <w:rsid w:val="4D39FE8C"/>
    <w:rsid w:val="4D547DEA"/>
    <w:rsid w:val="4D6352F8"/>
    <w:rsid w:val="4D9851D7"/>
    <w:rsid w:val="4DDD631D"/>
    <w:rsid w:val="4E69F2F7"/>
    <w:rsid w:val="4F148D29"/>
    <w:rsid w:val="4F4BAE7E"/>
    <w:rsid w:val="4F53DECB"/>
    <w:rsid w:val="4FAB7CA1"/>
    <w:rsid w:val="501B13AE"/>
    <w:rsid w:val="50A0D34B"/>
    <w:rsid w:val="50E5F2E6"/>
    <w:rsid w:val="511B4A5D"/>
    <w:rsid w:val="5173D70A"/>
    <w:rsid w:val="517FE739"/>
    <w:rsid w:val="51A49DC4"/>
    <w:rsid w:val="526A4D8A"/>
    <w:rsid w:val="52B255BE"/>
    <w:rsid w:val="52E80CAA"/>
    <w:rsid w:val="534758C5"/>
    <w:rsid w:val="534C4935"/>
    <w:rsid w:val="535200C1"/>
    <w:rsid w:val="5394D794"/>
    <w:rsid w:val="53E87EAE"/>
    <w:rsid w:val="55493D28"/>
    <w:rsid w:val="5566D751"/>
    <w:rsid w:val="559EAD55"/>
    <w:rsid w:val="55F88197"/>
    <w:rsid w:val="5640949D"/>
    <w:rsid w:val="56B744A4"/>
    <w:rsid w:val="573952F1"/>
    <w:rsid w:val="57888534"/>
    <w:rsid w:val="57AE999E"/>
    <w:rsid w:val="57BAF82F"/>
    <w:rsid w:val="581F0C04"/>
    <w:rsid w:val="584CAD40"/>
    <w:rsid w:val="594B34B5"/>
    <w:rsid w:val="5A2E71BC"/>
    <w:rsid w:val="5A30BC2E"/>
    <w:rsid w:val="5A3EFE34"/>
    <w:rsid w:val="5A7C5101"/>
    <w:rsid w:val="5A8AD963"/>
    <w:rsid w:val="5AAF51D9"/>
    <w:rsid w:val="5AC870B4"/>
    <w:rsid w:val="5AD3CC52"/>
    <w:rsid w:val="5B3A1667"/>
    <w:rsid w:val="5BC14AED"/>
    <w:rsid w:val="5C991751"/>
    <w:rsid w:val="5D110461"/>
    <w:rsid w:val="5D33077B"/>
    <w:rsid w:val="5D95993C"/>
    <w:rsid w:val="5DCB71C2"/>
    <w:rsid w:val="5DCDA066"/>
    <w:rsid w:val="5E1D800B"/>
    <w:rsid w:val="5E3D8A86"/>
    <w:rsid w:val="5E4D343A"/>
    <w:rsid w:val="5E84169C"/>
    <w:rsid w:val="5E99DF75"/>
    <w:rsid w:val="5EF690EB"/>
    <w:rsid w:val="5F0EBD71"/>
    <w:rsid w:val="5F141FEA"/>
    <w:rsid w:val="5F2E2209"/>
    <w:rsid w:val="5FD70ED8"/>
    <w:rsid w:val="5FE182B4"/>
    <w:rsid w:val="5FFED621"/>
    <w:rsid w:val="601C26EA"/>
    <w:rsid w:val="6046AB68"/>
    <w:rsid w:val="6079F7DA"/>
    <w:rsid w:val="60DC4EB0"/>
    <w:rsid w:val="610030EF"/>
    <w:rsid w:val="61713473"/>
    <w:rsid w:val="627A6917"/>
    <w:rsid w:val="629A1ECC"/>
    <w:rsid w:val="62BC85D7"/>
    <w:rsid w:val="62BCBBAC"/>
    <w:rsid w:val="638C9664"/>
    <w:rsid w:val="63B80701"/>
    <w:rsid w:val="63D2D1B4"/>
    <w:rsid w:val="64504F44"/>
    <w:rsid w:val="646936DA"/>
    <w:rsid w:val="64865E62"/>
    <w:rsid w:val="64DBAA6D"/>
    <w:rsid w:val="64DDA479"/>
    <w:rsid w:val="658A1152"/>
    <w:rsid w:val="65A0E35B"/>
    <w:rsid w:val="666786A7"/>
    <w:rsid w:val="669F9E25"/>
    <w:rsid w:val="66C9DF38"/>
    <w:rsid w:val="67495996"/>
    <w:rsid w:val="67FE7551"/>
    <w:rsid w:val="68553855"/>
    <w:rsid w:val="687AB567"/>
    <w:rsid w:val="68E3CEA3"/>
    <w:rsid w:val="692D18AA"/>
    <w:rsid w:val="69A1DC83"/>
    <w:rsid w:val="69BA5EBC"/>
    <w:rsid w:val="69F8A9C1"/>
    <w:rsid w:val="6A03EDD0"/>
    <w:rsid w:val="6A14D2AD"/>
    <w:rsid w:val="6A490D88"/>
    <w:rsid w:val="6A8B9E3C"/>
    <w:rsid w:val="6AA4A234"/>
    <w:rsid w:val="6AA9A6CA"/>
    <w:rsid w:val="6ABB92A8"/>
    <w:rsid w:val="6B3853BB"/>
    <w:rsid w:val="6B4ED280"/>
    <w:rsid w:val="6B6C1F5E"/>
    <w:rsid w:val="6B9050FC"/>
    <w:rsid w:val="6C133FC5"/>
    <w:rsid w:val="6C382996"/>
    <w:rsid w:val="6C3CBBD2"/>
    <w:rsid w:val="6C7E20F5"/>
    <w:rsid w:val="6D113CA2"/>
    <w:rsid w:val="6D1871F8"/>
    <w:rsid w:val="6DEAA40E"/>
    <w:rsid w:val="6E116952"/>
    <w:rsid w:val="6E79C8A6"/>
    <w:rsid w:val="6E8775A2"/>
    <w:rsid w:val="6F803FFE"/>
    <w:rsid w:val="6FC60CB8"/>
    <w:rsid w:val="6FCB23F6"/>
    <w:rsid w:val="6FD042FE"/>
    <w:rsid w:val="6FD92B50"/>
    <w:rsid w:val="70CAD0B7"/>
    <w:rsid w:val="70F487CB"/>
    <w:rsid w:val="71637230"/>
    <w:rsid w:val="7173561B"/>
    <w:rsid w:val="71CA3E86"/>
    <w:rsid w:val="720090F1"/>
    <w:rsid w:val="72767432"/>
    <w:rsid w:val="7347E752"/>
    <w:rsid w:val="74A5136F"/>
    <w:rsid w:val="74AAE84A"/>
    <w:rsid w:val="74F05E25"/>
    <w:rsid w:val="75469C61"/>
    <w:rsid w:val="757BAE44"/>
    <w:rsid w:val="76106F94"/>
    <w:rsid w:val="7628CB15"/>
    <w:rsid w:val="767BCBF8"/>
    <w:rsid w:val="76B4DCBA"/>
    <w:rsid w:val="7747067E"/>
    <w:rsid w:val="777DB09D"/>
    <w:rsid w:val="77928EA1"/>
    <w:rsid w:val="77D1AFF9"/>
    <w:rsid w:val="77EA2B20"/>
    <w:rsid w:val="7835F191"/>
    <w:rsid w:val="7846F243"/>
    <w:rsid w:val="79D1822F"/>
    <w:rsid w:val="7A5FEAA5"/>
    <w:rsid w:val="7A62B135"/>
    <w:rsid w:val="7AD4A1ED"/>
    <w:rsid w:val="7B13F969"/>
    <w:rsid w:val="7B545616"/>
    <w:rsid w:val="7B91DF09"/>
    <w:rsid w:val="7B9778BC"/>
    <w:rsid w:val="7CA3A452"/>
    <w:rsid w:val="7D213C8A"/>
    <w:rsid w:val="7D54FBD8"/>
    <w:rsid w:val="7D569390"/>
    <w:rsid w:val="7DCC8773"/>
    <w:rsid w:val="7DD3847F"/>
    <w:rsid w:val="7EBCBF3E"/>
    <w:rsid w:val="7F02C264"/>
    <w:rsid w:val="7F338D62"/>
    <w:rsid w:val="7F4624E3"/>
    <w:rsid w:val="7F478BD2"/>
    <w:rsid w:val="7FA0C62F"/>
    <w:rsid w:val="7FC8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136F"/>
  <w15:chartTrackingRefBased/>
  <w15:docId w15:val="{05070013-BA36-478A-9C03-9B378254B3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2595F1E"/>
    <w:pPr>
      <w:spacing/>
      <w:ind w:left="720"/>
      <w:contextualSpacing/>
    </w:pPr>
  </w:style>
  <w:style w:type="paragraph" w:styleId="NoSpacing">
    <w:uiPriority w:val="1"/>
    <w:name w:val="No Spacing"/>
    <w:qFormat/>
    <w:rsid w:val="30653246"/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19F7FE8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F7FE8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A4FD3CF2-5A82-432B-9680-D037871A5102}">
    <t:Anchor>
      <t:Comment id="1826878625"/>
    </t:Anchor>
    <t:History>
      <t:Event id="{BE4A9BB2-4387-4212-93A6-7CB8E74F888D}" time="2025-12-02T20:32:15.659Z">
        <t:Attribution userId="S::klyons@ccslib.org::2916a316-c70b-4c60-9199-fc4f6594eed6" userProvider="AD" userName="Kiara Lyons"/>
        <t:Anchor>
          <t:Comment id="1826878625"/>
        </t:Anchor>
        <t:Create/>
      </t:Event>
      <t:Event id="{5B79925A-6438-49A4-B6E8-64363C8F656E}" time="2025-12-02T20:32:15.659Z">
        <t:Attribution userId="S::klyons@ccslib.org::2916a316-c70b-4c60-9199-fc4f6594eed6" userProvider="AD" userName="Kiara Lyons"/>
        <t:Anchor>
          <t:Comment id="1826878625"/>
        </t:Anchor>
        <t:Assign userId="S::mlanders@ccslib.org::07da9021-f6ba-44e0-a1fa-c81110e01fa0" userProvider="AD" userName="Mieko Landers"/>
      </t:Event>
      <t:Event id="{CF17D298-2D5E-492A-B8C5-EF784DA1BDA7}" time="2025-12-02T20:32:15.659Z">
        <t:Attribution userId="S::klyons@ccslib.org::2916a316-c70b-4c60-9199-fc4f6594eed6" userProvider="AD" userName="Kiara Lyons"/>
        <t:Anchor>
          <t:Comment id="1826878625"/>
        </t:Anchor>
        <t:SetTitle title="@Mieko Landers Please take a look and share feedback/make any edits you see fit. Thank you!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abaaf184e0b749f3" /><Relationship Type="http://schemas.microsoft.com/office/2011/relationships/people" Target="people.xml" Id="Rf9def68d905e4199" /><Relationship Type="http://schemas.openxmlformats.org/officeDocument/2006/relationships/webSettings" Target="webSettings.xml" Id="rId3" /><Relationship Type="http://schemas.microsoft.com/office/2016/09/relationships/commentsIds" Target="commentsIds.xml" Id="R8e7adb32febd40f4" /><Relationship Type="http://schemas.microsoft.com/office/2011/relationships/commentsExtended" Target="commentsExtended.xml" Id="R6611ca04ab5743c7" /><Relationship Type="http://schemas.openxmlformats.org/officeDocument/2006/relationships/settings" Target="settings.xml" Id="rId2" /><Relationship Type="http://schemas.openxmlformats.org/officeDocument/2006/relationships/footer" Target="footer.xml" Id="Rd2b937daeee04511" /><Relationship Type="http://schemas.openxmlformats.org/officeDocument/2006/relationships/styles" Target="styles.xml" Id="rId1" /><Relationship Type="http://schemas.openxmlformats.org/officeDocument/2006/relationships/customXml" Target="../customXml/item3.xml" Id="rId1279414868" /><Relationship Type="http://schemas.openxmlformats.org/officeDocument/2006/relationships/theme" Target="theme/theme1.xml" Id="rId5" /><Relationship Type="http://schemas.openxmlformats.org/officeDocument/2006/relationships/customXml" Target="../customXml/item2.xml" Id="rId1279414867" /><Relationship Type="http://schemas.microsoft.com/office/2019/05/relationships/documenttasks" Target="tasks.xml" Id="Rfca1b12040014807" /><Relationship Type="http://schemas.openxmlformats.org/officeDocument/2006/relationships/fontTable" Target="fontTable.xml" Id="rId4" /><Relationship Type="http://schemas.openxmlformats.org/officeDocument/2006/relationships/header" Target="header.xml" Id="Rc2860ff535b54f73" /><Relationship Type="http://schemas.openxmlformats.org/officeDocument/2006/relationships/customXml" Target="../customXml/item1.xml" Id="rId1279414866" /><Relationship Type="http://schemas.openxmlformats.org/officeDocument/2006/relationships/image" Target="/media/image2.png" Id="rId1354031449" /><Relationship Type="http://schemas.openxmlformats.org/officeDocument/2006/relationships/hyperlink" Target="https://documentation.iii.com/polaris/WhatsNew/PolarisWhatsNew_8.0.pdf" TargetMode="External" Id="R1125697f9bfb4df3" /><Relationship Type="http://schemas.openxmlformats.org/officeDocument/2006/relationships/hyperlink" Target="https://www.ccslib.org/training/patron-blocks-leap" TargetMode="External" Id="Rf37bff8583094b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d41adc17b9250334b9ac84912f0d2ce9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ad1b2399b7f633cc487ed97dc42fae8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2321AAF8-D360-450B-9BEA-D6D1A7CBE978}"/>
</file>

<file path=customXml/itemProps2.xml><?xml version="1.0" encoding="utf-8"?>
<ds:datastoreItem xmlns:ds="http://schemas.openxmlformats.org/officeDocument/2006/customXml" ds:itemID="{255A3303-27E7-4FBF-BACA-5815277F2441}"/>
</file>

<file path=customXml/itemProps3.xml><?xml version="1.0" encoding="utf-8"?>
<ds:datastoreItem xmlns:ds="http://schemas.openxmlformats.org/officeDocument/2006/customXml" ds:itemID="{00846CF6-47BA-4454-9716-F6B3AC8397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Kiara Lyons</dc:creator>
  <keywords/>
  <dc:description/>
  <lastModifiedBy>Kiara Lyons</lastModifiedBy>
  <dcterms:created xsi:type="dcterms:W3CDTF">2025-11-05T15:26:12.0000000Z</dcterms:created>
  <dcterms:modified xsi:type="dcterms:W3CDTF">2026-02-13T17:07:19.8654366Z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