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DDD3C35" w:rsidP="4ACEF2D6" w:rsidRDefault="1DDD3C35" w14:paraId="1E3F3B3E" w14:textId="1A397EB6">
      <w:pPr>
        <w:pStyle w:val="Heading1"/>
        <w:keepNext w:val="1"/>
        <w:keepLines w:val="1"/>
        <w:spacing w:before="240" w:after="0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ACEF2D6" w:rsidR="1DDD3C3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  <w:t>Circulation/ILL Advisory Group Minutes</w:t>
      </w:r>
    </w:p>
    <w:p w:rsidR="1DDD3C35" w:rsidP="4ACEF2D6" w:rsidRDefault="1DDD3C35" w14:paraId="55E880E6" w14:textId="3536781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12, 2026</w:t>
      </w:r>
    </w:p>
    <w:p w:rsidR="1DDD3C35" w:rsidP="4ACEF2D6" w:rsidRDefault="1DDD3C35" w14:paraId="0E48D383" w14:textId="6483DA2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DD3C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Attendees: 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Cheryl Allen (CPQ); Keri Carroll (DUK); Kim Hegelund (NBK); Matthew Hoffman (WLK); Samantha Menard (PRK); Jennifer Sobel (PAK); Janine Wisniewski (MPK)</w:t>
      </w:r>
    </w:p>
    <w:p w:rsidR="1DDD3C35" w:rsidP="4ACEF2D6" w:rsidRDefault="1DDD3C35" w14:paraId="1EED2054" w14:textId="22080DD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DD3C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Absent: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None</w:t>
      </w:r>
    </w:p>
    <w:p w:rsidR="1DDD3C35" w:rsidP="4ACEF2D6" w:rsidRDefault="1DDD3C35" w14:paraId="7A8A540A" w14:textId="4F83231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DD3C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Also Present: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Molly Sum (CCS); Kiara Lyons (CCS)</w:t>
      </w:r>
    </w:p>
    <w:p w:rsidR="1DDD3C35" w:rsidP="4ACEF2D6" w:rsidRDefault="1DDD3C35" w14:paraId="2ECCC36D" w14:textId="0E63EB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March 12, 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 of the Circulation/ILL Advisory Group was called to order at 9:31am. The meeting was held via Zoom. </w:t>
      </w:r>
    </w:p>
    <w:p w:rsidR="1DDD3C35" w:rsidP="4ACEF2D6" w:rsidRDefault="1DDD3C35" w14:paraId="616825BE" w14:textId="45AC46ED">
      <w:pPr>
        <w:pStyle w:val="Normal"/>
        <w:spacing w:before="0" w:beforeAutospacing="off" w:after="160" w:afterAutospacing="off" w:line="276" w:lineRule="auto"/>
        <w:ind w:left="0" w:right="0" w:hanging="0"/>
      </w:pP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were no revisions to the drafted February 20</w:t>
      </w:r>
      <w:r w:rsidRPr="4ACEF2D6" w:rsidR="52DF83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2026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 minutes. Minutes accep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ted as 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4ACEF2D6" w:rsidR="1DDD3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AE2C703" w:rsidP="4ACEF2D6" w:rsidRDefault="4AE2C703" w14:paraId="7CA8D0C1" w14:textId="7CF277A5">
      <w:pPr>
        <w:pStyle w:val="Heading2"/>
        <w:keepNext w:val="1"/>
        <w:keepLines w:val="1"/>
        <w:suppressLineNumbers w:val="0"/>
        <w:bidi w:val="0"/>
        <w:spacing w:before="40" w:beforeAutospacing="off" w:after="0" w:afterAutospacing="off" w:line="279" w:lineRule="auto"/>
        <w:ind w:left="0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</w:pPr>
      <w:r w:rsidRPr="4ACEF2D6" w:rsidR="4AE2C70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 xml:space="preserve">1. </w:t>
      </w:r>
      <w:r w:rsidRPr="4ACEF2D6" w:rsidR="4AE2C70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>OrangeBoy</w:t>
      </w:r>
      <w:r w:rsidRPr="4ACEF2D6" w:rsidR="4AE2C70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 xml:space="preserve"> Updates</w:t>
      </w:r>
    </w:p>
    <w:p w:rsidR="4AE2C703" w:rsidP="4ACEF2D6" w:rsidRDefault="4AE2C703" w14:paraId="005ADF8A" w14:textId="7A22460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4AE2C7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M. Sum (CCS) introduced OrangeBoy</w:t>
      </w:r>
      <w:r w:rsidRPr="4ACEF2D6" w:rsidR="03118D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Savannah, a reporting platform used to aggregate data across a variety of sources and build custom reports. </w:t>
      </w:r>
    </w:p>
    <w:p w:rsidR="4AE2C703" w:rsidP="4ACEF2D6" w:rsidRDefault="4AE2C703" w14:paraId="5BD5DDCC" w14:textId="3D5D808E">
      <w:pPr>
        <w:pStyle w:val="Normal"/>
        <w:suppressLineNumbers w:val="0"/>
        <w:bidi w:val="0"/>
        <w:rPr>
          <w:rFonts w:ascii="Calibri Light" w:hAnsi="Calibri Light" w:eastAsia="Calibri Light" w:cs="Calibri Light"/>
          <w:noProof w:val="0"/>
          <w:sz w:val="26"/>
          <w:szCs w:val="26"/>
          <w:lang w:val="en-US"/>
        </w:rPr>
      </w:pPr>
      <w:r w:rsidRPr="4ACEF2D6" w:rsidR="4AE2C70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 xml:space="preserve">2. </w:t>
      </w:r>
      <w:r w:rsidRPr="4ACEF2D6" w:rsidR="1DAD414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>Dated Patron Notes</w:t>
      </w: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DAD4147" w:rsidP="4ACEF2D6" w:rsidRDefault="1DAD4147" w14:paraId="3F01F50B" w14:textId="5F30B9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K. Lyons (CCS)</w:t>
      </w:r>
      <w:r w:rsidRPr="4ACEF2D6" w:rsidR="64261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reviewed the discussion from the</w:t>
      </w:r>
      <w:r w:rsidRPr="4ACEF2D6" w:rsidR="64261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February Circ/ILL meeting. At that point, the group decided that the dated patron notes didn’t quite function in a way that would be helpful for library staff because it is really hidden in the patron </w:t>
      </w:r>
      <w:r w:rsidRPr="4ACEF2D6" w:rsidR="64261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account,</w:t>
      </w:r>
      <w:r w:rsidRPr="4ACEF2D6" w:rsidR="64261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 doesn’t pop-up at check-ins, and it doesn’t apply a block if needed. Because of this, the group thought it best that this is used as more of a log for patron account updates made on the CCS end, such as NCOA or fee purges. </w:t>
      </w:r>
      <w:r w:rsidRPr="4ACEF2D6" w:rsidR="01563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Additionally</w:t>
      </w:r>
      <w:r w:rsidRPr="4ACEF2D6" w:rsidR="64261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ACEF2D6" w:rsidR="0DE2F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members</w:t>
      </w:r>
      <w:r w:rsidRPr="4ACEF2D6" w:rsidR="64261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decided to </w:t>
      </w:r>
      <w:r w:rsidRPr="4ACEF2D6" w:rsidR="39F89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give </w:t>
      </w:r>
      <w:r w:rsidRPr="4ACEF2D6" w:rsidR="48A01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specific</w:t>
      </w:r>
      <w:r w:rsidRPr="4ACEF2D6" w:rsidR="39F89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staff</w:t>
      </w:r>
      <w:r w:rsidRPr="4ACEF2D6" w:rsidR="7E0F29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</w:t>
      </w:r>
      <w:r w:rsidRPr="4ACEF2D6" w:rsidR="39F89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permission to add a note</w:t>
      </w:r>
      <w:r w:rsidRPr="4ACEF2D6" w:rsidR="6B755C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ACEF2D6" w:rsidR="7C7B6C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instances lik</w:t>
      </w:r>
      <w:r w:rsidRPr="4ACEF2D6" w:rsidR="7C7B6C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Library of Things patron agreements</w:t>
      </w:r>
      <w:r w:rsidRPr="4ACEF2D6" w:rsidR="15E65D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ACEF2D6" w:rsidR="15E65D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4ACEF2D6" w:rsidR="656414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</w:t>
      </w:r>
      <w:r w:rsidRPr="4ACEF2D6" w:rsidR="1A8C1A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ich library staff</w:t>
      </w:r>
      <w:r w:rsidRPr="4ACEF2D6" w:rsidR="656414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 </w:t>
      </w:r>
      <w:r w:rsidRPr="4ACEF2D6" w:rsidR="39F89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</w:t>
      </w:r>
      <w:r w:rsidRPr="4ACEF2D6" w:rsidR="7F6DF9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permission will be </w:t>
      </w:r>
      <w:r w:rsidRPr="4ACEF2D6" w:rsidR="39F89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determined by </w:t>
      </w:r>
      <w:r w:rsidRPr="4ACEF2D6" w:rsidR="64BAD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library managers</w:t>
      </w:r>
      <w:r w:rsidRPr="4ACEF2D6" w:rsidR="39F89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ACEF2D6" w:rsidR="39F89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Most staff members will have the ability to view only. </w:t>
      </w:r>
      <w:r w:rsidRPr="4ACEF2D6" w:rsidR="64261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5DC5BC5" w:rsidP="4ACEF2D6" w:rsidRDefault="55DC5BC5" w14:paraId="1D603DFB" w14:textId="73E789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55DC5B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4ACEF2D6" w:rsidR="55DC5B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</w:t>
      </w:r>
      <w:r w:rsidRPr="4ACEF2D6" w:rsidR="55DC5B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voted on the following procedure:</w:t>
      </w:r>
    </w:p>
    <w:p w:rsidR="55DC5BC5" w:rsidP="4ACEF2D6" w:rsidRDefault="55DC5BC5" w14:paraId="5829C5A6" w14:textId="250543F8">
      <w:pPr>
        <w:pStyle w:val="Normal"/>
        <w:bidi w:val="0"/>
        <w:spacing w:before="0" w:beforeAutospacing="off" w:after="160" w:afterAutospacing="off" w:line="279" w:lineRule="auto"/>
        <w:ind w:left="720" w:right="72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ACEF2D6" w:rsidR="55DC5B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CCS staff will </w:t>
      </w:r>
      <w:r w:rsidRPr="4ACEF2D6" w:rsidR="55DC5B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utilize</w:t>
      </w:r>
      <w:r w:rsidRPr="4ACEF2D6" w:rsidR="55DC5B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 xml:space="preserve"> Dated Notes to track bulk patron updates, such as NCOA updates, Fine/Fee purges, Patron Merge, etc. Library staff will have access to view these notes; however, access to edit and remove notes will be limited to CCS staff and library permission-level staff.</w:t>
      </w:r>
    </w:p>
    <w:p w:rsidR="460A2554" w:rsidP="4ACEF2D6" w:rsidRDefault="460A2554" w14:paraId="2E7D0126" w14:textId="18DF12FB">
      <w:pPr>
        <w:bidi w:val="0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460A2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K. Carroll (DUK) moved and K</w:t>
      </w:r>
      <w:r w:rsidRPr="4ACEF2D6" w:rsidR="460A2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Hegelund</w:t>
      </w:r>
      <w:r w:rsidRPr="4ACEF2D6" w:rsidR="460A2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(NBK) seconded to recommend the Dated Notes </w:t>
      </w:r>
      <w:r>
        <w:tab/>
      </w:r>
      <w:r w:rsidRPr="4ACEF2D6" w:rsidR="460A2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procedure. </w:t>
      </w:r>
    </w:p>
    <w:p w:rsidR="1DAD4147" w:rsidP="4ACEF2D6" w:rsidRDefault="1DAD4147" w14:paraId="400429AA" w14:textId="08E2C685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AD41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Ayes:</w:t>
      </w: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Cheryl Allen (CPQ); Keri Carroll (DUK); Kim Hegelund (NBK); Matthew Hoffman (WLK); Samantha Menard (PRK); Jennifer Sobel (PAK); Janine Wisniewski (MPK)</w:t>
      </w:r>
      <w:r>
        <w:br/>
      </w:r>
      <w:r w:rsidRPr="4ACEF2D6" w:rsidR="1DAD41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Nays:</w:t>
      </w: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None</w:t>
      </w:r>
    </w:p>
    <w:p w:rsidR="1DAD4147" w:rsidP="4ACEF2D6" w:rsidRDefault="1DAD4147" w14:paraId="2865B7C2" w14:textId="1853DDF0">
      <w:pPr>
        <w:pStyle w:val="Normal"/>
        <w:bidi w:val="0"/>
        <w:rPr>
          <w:rFonts w:ascii="Calibri Light" w:hAnsi="Calibri Light" w:eastAsia="Calibri Light" w:cs="Calibri Light"/>
          <w:noProof w:val="0"/>
          <w:sz w:val="26"/>
          <w:szCs w:val="26"/>
          <w:lang w:val="en-US"/>
        </w:rPr>
      </w:pP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motion passed. CCS will present the proposal to the Circulation Technical group for final approval. </w:t>
      </w:r>
    </w:p>
    <w:p w:rsidR="1DAD4147" w:rsidP="4ACEF2D6" w:rsidRDefault="1DAD4147" w14:paraId="6149257D" w14:textId="70BDF6D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Pr="4ACEF2D6" w:rsidR="1DAD414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>3. Patron Blocks and Notes</w:t>
      </w:r>
    </w:p>
    <w:p w:rsidR="356129E8" w:rsidP="4ACEF2D6" w:rsidRDefault="356129E8" w14:paraId="03821472" w14:textId="4BA2FC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35612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During the February</w:t>
      </w:r>
      <w:r w:rsidRPr="4ACEF2D6" w:rsidR="744A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ACEF2D6" w:rsidR="43468F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</w:t>
      </w:r>
      <w:r w:rsidRPr="4ACEF2D6" w:rsidR="037EB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the committee </w:t>
      </w:r>
      <w:r w:rsidRPr="4ACEF2D6" w:rsidR="0B6138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discussed the pros and cons of allowing any library to add and resolve patron notes</w:t>
      </w:r>
      <w:r w:rsidRPr="4ACEF2D6" w:rsidR="0AADC8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blocks. At this meeting, the group discussed the proposed procedure wording and decided to specify further by including the follow</w:t>
      </w: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ing wording:</w:t>
      </w:r>
    </w:p>
    <w:p w:rsidR="001153E1" w:rsidP="4ACEF2D6" w:rsidRDefault="001153E1" w14:paraId="2F8D3DDC" w14:textId="2A59C83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“Blocks, Blocking Notes, and Non-Blocking Notes” to cover all types of note/bl</w:t>
      </w:r>
      <w:r w:rsidRPr="4ACEF2D6" w:rsidR="62966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ock</w:t>
      </w:r>
    </w:p>
    <w:p w:rsidR="001153E1" w:rsidP="4ACEF2D6" w:rsidRDefault="001153E1" w14:paraId="105FDC2A" w14:textId="4DF5EE9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Any </w:t>
      </w: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library</w:t>
      </w: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</w:t>
      </w: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any</w:t>
      </w: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 </w:t>
      </w:r>
      <w:r w:rsidRPr="4ACEF2D6" w:rsidR="001153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patron account” to clarify who can place a note/block</w:t>
      </w:r>
    </w:p>
    <w:p w:rsidR="744A70AE" w:rsidP="4ACEF2D6" w:rsidRDefault="744A70AE" w14:paraId="78DA4FD7" w14:textId="787E543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744A70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committee voted on the following procedure:</w:t>
      </w:r>
    </w:p>
    <w:p w:rsidR="27D1FD24" w:rsidP="4ACEF2D6" w:rsidRDefault="27D1FD24" w14:paraId="1309459E" w14:textId="56018591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72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Libraries may alter or remove Blocks, Blocking Notes, and Non-Blocking Notes if they can resolve the issue or can confirm that the issue was already resolved, 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regardless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they were the library that added the 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/block. Any library may apply best practices to 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4ACEF2D6" w:rsidR="27D1FD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whether to add a note or block to any patron account.</w:t>
      </w:r>
    </w:p>
    <w:p w:rsidR="1A955239" w:rsidP="4ACEF2D6" w:rsidRDefault="1A955239" w14:paraId="31C5795C" w14:textId="00FBBA30">
      <w:pPr>
        <w:bidi w:val="0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A9552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J. Wisniewski (MPK) moved and C. Allen (CPQ) seconded to recommend the updates to the </w:t>
      </w:r>
      <w:r>
        <w:tab/>
      </w:r>
      <w:r w:rsidRPr="4ACEF2D6" w:rsidR="1A9552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Patron Blocks and Notes procedure.</w:t>
      </w:r>
    </w:p>
    <w:p w:rsidR="1DAD4147" w:rsidP="4ACEF2D6" w:rsidRDefault="1DAD4147" w14:paraId="15AE8B02" w14:textId="3E93D677">
      <w:pPr>
        <w:bidi w:val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ACEF2D6" w:rsidR="1DAD41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Ayes:</w:t>
      </w: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Cheryl Allen (CPQ); Keri Carroll (DUK); Kim Hegelund (NBK); Matthew Hoffman (WLK); Samantha Menard (PRK); Jennifer Sobel (PAK); Janine Wisniewski (MPK)</w:t>
      </w:r>
      <w:r>
        <w:br/>
      </w:r>
      <w:r w:rsidRPr="4ACEF2D6" w:rsidR="1DAD41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Nays:</w:t>
      </w: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None</w:t>
      </w:r>
    </w:p>
    <w:p w:rsidR="1DAD4147" w:rsidP="4ACEF2D6" w:rsidRDefault="1DAD4147" w14:paraId="429D3C86" w14:textId="6920FB6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motion passed. CCS will present the proposal to the Circulation Technical group for final approval.</w:t>
      </w:r>
    </w:p>
    <w:p w:rsidR="3D065A06" w:rsidP="4ACEF2D6" w:rsidRDefault="3D065A06" w14:paraId="197C21F4" w14:textId="6EB185D4">
      <w:pPr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</w:pPr>
      <w:r w:rsidRPr="4ACEF2D6" w:rsidR="3D065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C. Allen </w:t>
      </w:r>
      <w:r w:rsidRPr="4ACEF2D6" w:rsidR="3D065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mov</w:t>
      </w: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 </w:t>
      </w:r>
      <w:r w:rsidRPr="4ACEF2D6" w:rsidR="1DAD4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adjourn the meeting. The meeting was adjourned at 10:02am.</w:t>
      </w:r>
    </w:p>
    <w:p w:rsidR="1DAD4147" w:rsidP="4ACEF2D6" w:rsidRDefault="1DAD4147" w14:paraId="3C41FD88" w14:textId="130FEB1A">
      <w:pPr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</w:pPr>
      <w:r w:rsidRPr="4ACEF2D6" w:rsidR="1DAD414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F5496"/>
          <w:sz w:val="26"/>
          <w:szCs w:val="26"/>
          <w:lang w:val="en-US"/>
        </w:rPr>
        <w:t>Summary of Next Steps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115"/>
        <w:gridCol w:w="5055"/>
        <w:gridCol w:w="2160"/>
      </w:tblGrid>
      <w:tr w:rsidR="4ACEF2D6" w:rsidTr="4ACEF2D6" w14:paraId="1A9CFB25">
        <w:trPr>
          <w:trHeight w:val="300"/>
        </w:trPr>
        <w:tc>
          <w:tcPr>
            <w:tcW w:w="2115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4ACEF2D6" w:rsidP="4ACEF2D6" w:rsidRDefault="4ACEF2D6" w14:paraId="49B89F53" w14:textId="26A7D9BD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ACEF2D6" w:rsidR="4ACEF2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Who</w:t>
            </w:r>
          </w:p>
        </w:tc>
        <w:tc>
          <w:tcPr>
            <w:tcW w:w="5055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4ACEF2D6" w:rsidP="4ACEF2D6" w:rsidRDefault="4ACEF2D6" w14:paraId="4C61F1F1" w14:textId="582DF9F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ACEF2D6" w:rsidR="4ACEF2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What</w:t>
            </w:r>
          </w:p>
        </w:tc>
        <w:tc>
          <w:tcPr>
            <w:tcW w:w="216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4ACEF2D6" w:rsidP="4ACEF2D6" w:rsidRDefault="4ACEF2D6" w14:paraId="775BF561" w14:textId="5A8E075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ACEF2D6" w:rsidR="4ACEF2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When</w:t>
            </w:r>
          </w:p>
        </w:tc>
      </w:tr>
      <w:tr w:rsidR="4ACEF2D6" w:rsidTr="4ACEF2D6" w14:paraId="58E2048C">
        <w:trPr>
          <w:trHeight w:val="63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4ACEF2D6" w:rsidP="4ACEF2D6" w:rsidRDefault="4ACEF2D6" w14:paraId="16985846" w14:textId="01CA633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CEF2D6" w:rsidR="4ACEF2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CCS</w:t>
            </w:r>
          </w:p>
        </w:tc>
        <w:tc>
          <w:tcPr>
            <w:tcW w:w="5055" w:type="dxa"/>
            <w:tcMar>
              <w:left w:w="105" w:type="dxa"/>
              <w:right w:w="105" w:type="dxa"/>
            </w:tcMar>
            <w:vAlign w:val="top"/>
          </w:tcPr>
          <w:p w:rsidR="7A835850" w:rsidP="4ACEF2D6" w:rsidRDefault="7A835850" w14:paraId="546D15EF" w14:textId="45DEF77A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ACEF2D6" w:rsidR="7A835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Present </w:t>
            </w:r>
            <w:r w:rsidRPr="4ACEF2D6" w:rsidR="64D580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new </w:t>
            </w:r>
            <w:r w:rsidRPr="4ACEF2D6" w:rsidR="7A835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Dated Notes and </w:t>
            </w:r>
            <w:r w:rsidRPr="4ACEF2D6" w:rsidR="35213D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updated </w:t>
            </w:r>
            <w:r w:rsidRPr="4ACEF2D6" w:rsidR="7A835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Notes/Blocks procedures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78675323" w:rsidP="4ACEF2D6" w:rsidRDefault="78675323" w14:paraId="413B2812" w14:textId="494603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ACEF2D6" w:rsidR="786753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2026</w:t>
            </w:r>
          </w:p>
        </w:tc>
      </w:tr>
    </w:tbl>
    <w:p w:rsidR="4ACEF2D6" w:rsidP="4ACEF2D6" w:rsidRDefault="4ACEF2D6" w14:paraId="45264E9C" w14:textId="341AF230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09177f2bbce4a7e"/>
      <w:footerReference w:type="default" r:id="Rf35bedf7bf574b2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EF2D6" w:rsidTr="4ACEF2D6" w14:paraId="5A22B9F1">
      <w:trPr>
        <w:trHeight w:val="300"/>
      </w:trPr>
      <w:tc>
        <w:tcPr>
          <w:tcW w:w="3120" w:type="dxa"/>
          <w:tcMar/>
        </w:tcPr>
        <w:p w:rsidR="4ACEF2D6" w:rsidP="4ACEF2D6" w:rsidRDefault="4ACEF2D6" w14:paraId="7465372E" w14:textId="472900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CEF2D6" w:rsidP="4ACEF2D6" w:rsidRDefault="4ACEF2D6" w14:paraId="2CA4754C" w14:textId="46EB845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CEF2D6" w:rsidP="4ACEF2D6" w:rsidRDefault="4ACEF2D6" w14:paraId="0F74E702" w14:textId="0F9AC794">
          <w:pPr>
            <w:pStyle w:val="Header"/>
            <w:bidi w:val="0"/>
            <w:ind w:right="-115"/>
            <w:jc w:val="right"/>
          </w:pPr>
        </w:p>
      </w:tc>
    </w:tr>
  </w:tbl>
  <w:p w:rsidR="4ACEF2D6" w:rsidP="4ACEF2D6" w:rsidRDefault="4ACEF2D6" w14:paraId="49AAE756" w14:textId="42CD9FD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EF2D6" w:rsidTr="4ACEF2D6" w14:paraId="4AC581C9">
      <w:trPr>
        <w:trHeight w:val="300"/>
      </w:trPr>
      <w:tc>
        <w:tcPr>
          <w:tcW w:w="3120" w:type="dxa"/>
          <w:tcMar/>
        </w:tcPr>
        <w:p w:rsidR="4ACEF2D6" w:rsidP="4ACEF2D6" w:rsidRDefault="4ACEF2D6" w14:paraId="6D059DF6" w14:textId="1B4B6FF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CEF2D6" w:rsidP="4ACEF2D6" w:rsidRDefault="4ACEF2D6" w14:paraId="65388A9A" w14:textId="67FF4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CEF2D6" w:rsidP="4ACEF2D6" w:rsidRDefault="4ACEF2D6" w14:paraId="14F23C30" w14:textId="62028A43">
          <w:pPr>
            <w:pStyle w:val="Header"/>
            <w:bidi w:val="0"/>
            <w:ind w:right="-115"/>
            <w:jc w:val="right"/>
          </w:pPr>
        </w:p>
      </w:tc>
    </w:tr>
  </w:tbl>
  <w:p w:rsidR="4ACEF2D6" w:rsidP="4ACEF2D6" w:rsidRDefault="4ACEF2D6" w14:paraId="0415978C" w14:textId="6C1A846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fe78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a683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3311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5da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5320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E6491"/>
    <w:rsid w:val="001153E1"/>
    <w:rsid w:val="0106C758"/>
    <w:rsid w:val="01563638"/>
    <w:rsid w:val="01F75843"/>
    <w:rsid w:val="02C55195"/>
    <w:rsid w:val="03118D8F"/>
    <w:rsid w:val="037EB4A0"/>
    <w:rsid w:val="058AB913"/>
    <w:rsid w:val="06609903"/>
    <w:rsid w:val="0AADC834"/>
    <w:rsid w:val="0B613806"/>
    <w:rsid w:val="0C1C6C4B"/>
    <w:rsid w:val="0C9D88B4"/>
    <w:rsid w:val="0DE0F1C8"/>
    <w:rsid w:val="0DE2FE34"/>
    <w:rsid w:val="0E255A25"/>
    <w:rsid w:val="0E2CC977"/>
    <w:rsid w:val="0F054EC5"/>
    <w:rsid w:val="1182F3EB"/>
    <w:rsid w:val="119BF6E8"/>
    <w:rsid w:val="11CD7B8B"/>
    <w:rsid w:val="131F6837"/>
    <w:rsid w:val="15E65D06"/>
    <w:rsid w:val="15F0B218"/>
    <w:rsid w:val="15FA685C"/>
    <w:rsid w:val="17C3CABF"/>
    <w:rsid w:val="17C4641C"/>
    <w:rsid w:val="18406DE2"/>
    <w:rsid w:val="186927C1"/>
    <w:rsid w:val="18BA875C"/>
    <w:rsid w:val="1A8C1A17"/>
    <w:rsid w:val="1A955239"/>
    <w:rsid w:val="1AACED86"/>
    <w:rsid w:val="1C922542"/>
    <w:rsid w:val="1C922542"/>
    <w:rsid w:val="1D2F5154"/>
    <w:rsid w:val="1DAD4147"/>
    <w:rsid w:val="1DDD3C35"/>
    <w:rsid w:val="1F6542F7"/>
    <w:rsid w:val="1F9B338F"/>
    <w:rsid w:val="1FF69F41"/>
    <w:rsid w:val="21350F03"/>
    <w:rsid w:val="22110605"/>
    <w:rsid w:val="228C2381"/>
    <w:rsid w:val="232872BB"/>
    <w:rsid w:val="23481564"/>
    <w:rsid w:val="2443757B"/>
    <w:rsid w:val="25174617"/>
    <w:rsid w:val="253E9CD8"/>
    <w:rsid w:val="264B94A0"/>
    <w:rsid w:val="27D1FD24"/>
    <w:rsid w:val="27F0F013"/>
    <w:rsid w:val="27F0F013"/>
    <w:rsid w:val="2987970A"/>
    <w:rsid w:val="2A9AC3B2"/>
    <w:rsid w:val="2BAA6C41"/>
    <w:rsid w:val="2BAA6C41"/>
    <w:rsid w:val="2CB2F488"/>
    <w:rsid w:val="2F9E7D6F"/>
    <w:rsid w:val="2FD885F1"/>
    <w:rsid w:val="30EF378D"/>
    <w:rsid w:val="334D654C"/>
    <w:rsid w:val="334D654C"/>
    <w:rsid w:val="33C2A9F7"/>
    <w:rsid w:val="347DAAEE"/>
    <w:rsid w:val="34C74C49"/>
    <w:rsid w:val="35213D23"/>
    <w:rsid w:val="356129E8"/>
    <w:rsid w:val="37EFF00A"/>
    <w:rsid w:val="37F07D51"/>
    <w:rsid w:val="388E0D3C"/>
    <w:rsid w:val="38C26DEF"/>
    <w:rsid w:val="39F89CB6"/>
    <w:rsid w:val="3B9C579D"/>
    <w:rsid w:val="3C937ECC"/>
    <w:rsid w:val="3D065A06"/>
    <w:rsid w:val="3DB107F6"/>
    <w:rsid w:val="3E353E02"/>
    <w:rsid w:val="3E353E02"/>
    <w:rsid w:val="3EC2CF73"/>
    <w:rsid w:val="402855CD"/>
    <w:rsid w:val="41E9201E"/>
    <w:rsid w:val="43468F6C"/>
    <w:rsid w:val="43762B85"/>
    <w:rsid w:val="448836A3"/>
    <w:rsid w:val="4550A5D7"/>
    <w:rsid w:val="4609367B"/>
    <w:rsid w:val="460A2554"/>
    <w:rsid w:val="464F339F"/>
    <w:rsid w:val="46798683"/>
    <w:rsid w:val="46798683"/>
    <w:rsid w:val="4756F99D"/>
    <w:rsid w:val="480EAA48"/>
    <w:rsid w:val="48A01122"/>
    <w:rsid w:val="4ACEF2D6"/>
    <w:rsid w:val="4AE2C703"/>
    <w:rsid w:val="4B1490BD"/>
    <w:rsid w:val="4B5A99B1"/>
    <w:rsid w:val="4BFAE2DD"/>
    <w:rsid w:val="4C0A8B3E"/>
    <w:rsid w:val="4F037D70"/>
    <w:rsid w:val="4F144B70"/>
    <w:rsid w:val="4F633653"/>
    <w:rsid w:val="50753944"/>
    <w:rsid w:val="50E9DB13"/>
    <w:rsid w:val="5141511E"/>
    <w:rsid w:val="51DDDA95"/>
    <w:rsid w:val="529CE9C4"/>
    <w:rsid w:val="52DF832F"/>
    <w:rsid w:val="53C2BD0E"/>
    <w:rsid w:val="552F5B8E"/>
    <w:rsid w:val="55DC5BC5"/>
    <w:rsid w:val="566BE000"/>
    <w:rsid w:val="5771FFF5"/>
    <w:rsid w:val="5859003B"/>
    <w:rsid w:val="59DE6491"/>
    <w:rsid w:val="5BF300C1"/>
    <w:rsid w:val="5C688794"/>
    <w:rsid w:val="5C9E48E1"/>
    <w:rsid w:val="5DDD5644"/>
    <w:rsid w:val="5E10DB9B"/>
    <w:rsid w:val="5E7A6838"/>
    <w:rsid w:val="5F5683FF"/>
    <w:rsid w:val="61012482"/>
    <w:rsid w:val="6113D57E"/>
    <w:rsid w:val="61FDE708"/>
    <w:rsid w:val="6296647D"/>
    <w:rsid w:val="64261805"/>
    <w:rsid w:val="64BAD202"/>
    <w:rsid w:val="64D5804A"/>
    <w:rsid w:val="6564147A"/>
    <w:rsid w:val="660DB37A"/>
    <w:rsid w:val="660DB37A"/>
    <w:rsid w:val="677FAB13"/>
    <w:rsid w:val="684A22C4"/>
    <w:rsid w:val="6AE18CDB"/>
    <w:rsid w:val="6B696F55"/>
    <w:rsid w:val="6B6EA458"/>
    <w:rsid w:val="6B755C95"/>
    <w:rsid w:val="6C85858A"/>
    <w:rsid w:val="6EEAF5BB"/>
    <w:rsid w:val="71FEF498"/>
    <w:rsid w:val="71FEF498"/>
    <w:rsid w:val="72711239"/>
    <w:rsid w:val="72C14D21"/>
    <w:rsid w:val="744A70AE"/>
    <w:rsid w:val="751D5FD0"/>
    <w:rsid w:val="75265BA1"/>
    <w:rsid w:val="76EDF1E4"/>
    <w:rsid w:val="777C549E"/>
    <w:rsid w:val="78675323"/>
    <w:rsid w:val="78A8DC2D"/>
    <w:rsid w:val="790677D1"/>
    <w:rsid w:val="7946585D"/>
    <w:rsid w:val="7A694C76"/>
    <w:rsid w:val="7A835850"/>
    <w:rsid w:val="7B4EC55B"/>
    <w:rsid w:val="7B820656"/>
    <w:rsid w:val="7BE1884F"/>
    <w:rsid w:val="7C578E91"/>
    <w:rsid w:val="7C5D5E92"/>
    <w:rsid w:val="7C7B6CFB"/>
    <w:rsid w:val="7DBE7574"/>
    <w:rsid w:val="7E0F2936"/>
    <w:rsid w:val="7E237A94"/>
    <w:rsid w:val="7E551CC3"/>
    <w:rsid w:val="7E7DE0DA"/>
    <w:rsid w:val="7F03B764"/>
    <w:rsid w:val="7F6DF93C"/>
    <w:rsid w:val="7FF7B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6491"/>
  <w15:chartTrackingRefBased/>
  <w15:docId w15:val="{2604EF48-B41E-4C4C-8F9C-B67722BF8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F9E7D6F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4ACEF2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ACEF2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2Char" w:customStyle="true">
    <w:uiPriority w:val="9"/>
    <w:name w:val="Heading 2 Char"/>
    <w:basedOn w:val="DefaultParagraphFont"/>
    <w:link w:val="Heading2"/>
    <w:rsid w:val="4ACEF2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paragraph" w:styleId="Header">
    <w:uiPriority w:val="99"/>
    <w:name w:val="header"/>
    <w:basedOn w:val="Normal"/>
    <w:unhideWhenUsed/>
    <w:rsid w:val="4ACEF2D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CEF2D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d2dd435b64c4880" /><Relationship Type="http://schemas.openxmlformats.org/officeDocument/2006/relationships/header" Target="header.xml" Id="R209177f2bbce4a7e" /><Relationship Type="http://schemas.openxmlformats.org/officeDocument/2006/relationships/footer" Target="footer.xml" Id="Rf35bedf7bf574b2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d41adc17b9250334b9ac84912f0d2ce9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ad1b2399b7f633cc487ed97dc42fae8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EC8132B1-442B-4896-984E-33C54480630D}"/>
</file>

<file path=customXml/itemProps2.xml><?xml version="1.0" encoding="utf-8"?>
<ds:datastoreItem xmlns:ds="http://schemas.openxmlformats.org/officeDocument/2006/customXml" ds:itemID="{99AE2C07-17E3-4230-9BFA-8E3E403BA857}"/>
</file>

<file path=customXml/itemProps3.xml><?xml version="1.0" encoding="utf-8"?>
<ds:datastoreItem xmlns:ds="http://schemas.openxmlformats.org/officeDocument/2006/customXml" ds:itemID="{A75DA376-9D8F-46E5-89D9-DE00DB78EA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Kiara Lyons</dc:creator>
  <keywords/>
  <dc:description/>
  <dcterms:created xsi:type="dcterms:W3CDTF">2026-03-10T19:27:24.0000000Z</dcterms:created>
  <dcterms:modified xsi:type="dcterms:W3CDTF">2026-03-12T19:11:15.0587172Z</dcterms:modified>
  <lastModifiedBy>Kiara Lyons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